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line="480" w:lineRule="auto"/>
        <w:jc w:val="center"/>
      </w:pPr>
      <w:r>
        <w:rPr>
          <w:rFonts w:ascii="Times New Roman" w:cs="Times New Roman" w:eastAsia="Times New Roman" w:hAnsi="Times New Roman"/>
          <w:b/>
          <w:bCs/>
          <w:sz w:val="24"/>
          <w:szCs w:val="24"/>
        </w:rPr>
        <w:t xml:space="preserve">UNIVERSIDAD INTERNACIONAL SAN ISIDRO LABRADOR</w:t>
      </w:r>
    </w:p>
    <w:p>
      <w:pPr>
        <w:spacing w:line="480" w:lineRule="auto"/>
        <w:jc w:val="center"/>
      </w:pPr>
      <w:r>
        <w:rPr>
          <w:rFonts w:ascii="Times New Roman" w:cs="Times New Roman" w:eastAsia="Times New Roman" w:hAnsi="Times New Roman"/>
          <w:b/>
          <w:bCs/>
          <w:sz w:val="24"/>
          <w:szCs w:val="24"/>
        </w:rPr>
        <w:t xml:space="preserve">FACULTAD DE EDUCACIÓN</w:t>
      </w:r>
    </w:p>
    <w:p>
      <w:pPr>
        <w:spacing w:line="480" w:lineRule="auto"/>
        <w:jc w:val="center"/>
      </w:pPr>
      <w:r>
        <w:rPr>
          <w:rFonts w:ascii="Times New Roman" w:cs="Times New Roman" w:eastAsia="Times New Roman" w:hAnsi="Times New Roman"/>
          <w:b/>
          <w:bCs/>
          <w:sz w:val="24"/>
          <w:szCs w:val="24"/>
        </w:rPr>
        <w:t xml:space="preserve">SEDE CENTRAL</w:t>
      </w:r>
    </w:p>
    <w:p>
      <w:pPr>
        <w:spacing w:line="480" w:lineRule="auto"/>
      </w:pPr>
    </w:p>
    <w:p>
      <w:pPr>
        <w:spacing w:line="480" w:lineRule="auto"/>
      </w:pPr>
    </w:p>
    <w:p>
      <w:pPr>
        <w:spacing w:line="480" w:lineRule="auto"/>
      </w:pPr>
    </w:p>
    <w:p>
      <w:pPr>
        <w:spacing w:line="480" w:lineRule="auto"/>
        <w:jc w:val="center"/>
      </w:pPr>
      <w:r>
        <w:rPr>
          <w:rFonts w:ascii="Times New Roman" w:cs="Times New Roman" w:eastAsia="Times New Roman" w:hAnsi="Times New Roman"/>
          <w:sz w:val="24"/>
          <w:szCs w:val="24"/>
        </w:rPr>
        <w:t xml:space="preserve">Artículo Especializado para obtener el grado de</w:t>
      </w:r>
    </w:p>
    <w:p>
      <w:pPr>
        <w:spacing w:line="480" w:lineRule="auto"/>
        <w:jc w:val="center"/>
      </w:pPr>
      <w:r>
        <w:rPr>
          <w:rFonts w:ascii="Times New Roman" w:cs="Times New Roman" w:eastAsia="Times New Roman" w:hAnsi="Times New Roman"/>
          <w:b/>
          <w:bCs/>
          <w:sz w:val="24"/>
          <w:szCs w:val="24"/>
        </w:rPr>
        <w:t xml:space="preserve">Maestría Profesional en Administración Educativa</w:t>
      </w:r>
    </w:p>
    <w:p>
      <w:pPr>
        <w:spacing w:line="480" w:lineRule="auto"/>
      </w:pPr>
    </w:p>
    <w:p>
      <w:pPr>
        <w:spacing w:line="480" w:lineRule="auto"/>
      </w:pPr>
    </w:p>
    <w:p>
      <w:pPr>
        <w:spacing w:line="480" w:lineRule="auto"/>
        <w:jc w:val="center"/>
      </w:pPr>
      <w:r>
        <w:rPr>
          <w:rFonts w:ascii="Times New Roman" w:cs="Times New Roman" w:eastAsia="Times New Roman" w:hAnsi="Times New Roman"/>
          <w:b/>
          <w:bCs/>
          <w:sz w:val="24"/>
          <w:szCs w:val="24"/>
        </w:rPr>
        <w:t xml:space="preserve">Línea de investigación: Gestión y Administración de los Centros Educativos</w:t>
      </w:r>
    </w:p>
    <w:p>
      <w:pPr>
        <w:spacing w:line="480" w:lineRule="auto"/>
      </w:pPr>
    </w:p>
    <w:p>
      <w:pPr>
        <w:spacing w:line="480" w:lineRule="auto"/>
      </w:pPr>
    </w:p>
    <w:p>
      <w:pPr>
        <w:spacing w:line="480" w:lineRule="auto"/>
        <w:jc w:val="center"/>
      </w:pPr>
      <w:r>
        <w:rPr>
          <w:rFonts w:ascii="Times New Roman" w:cs="Times New Roman" w:eastAsia="Times New Roman" w:hAnsi="Times New Roman"/>
          <w:b/>
          <w:bCs/>
          <w:sz w:val="28"/>
          <w:szCs w:val="28"/>
        </w:rPr>
        <w:t xml:space="preserve">Integración de tecnología digital en el aula de primaria: desafíos y estrategias</w:t>
      </w:r>
    </w:p>
    <w:p>
      <w:pPr>
        <w:spacing w:line="480" w:lineRule="auto"/>
      </w:pPr>
    </w:p>
    <w:p>
      <w:pPr>
        <w:spacing w:line="480" w:lineRule="auto"/>
        <w:jc w:val="center"/>
      </w:pPr>
      <w:r>
        <w:rPr>
          <w:rFonts w:ascii="Times New Roman" w:cs="Times New Roman" w:eastAsia="Times New Roman" w:hAnsi="Times New Roman"/>
          <w:sz w:val="24"/>
          <w:szCs w:val="24"/>
        </w:rPr>
        <w:t xml:space="preserve">Escuela Líder General Thomas Guardia, Circuito Escolar 01, Dirección Regional de Enseñanza Limón, Febrero – Mayo 2026</w:t>
      </w:r>
    </w:p>
    <w:p>
      <w:pPr>
        <w:spacing w:line="480" w:lineRule="auto"/>
      </w:pPr>
    </w:p>
    <w:p>
      <w:pPr>
        <w:spacing w:line="480" w:lineRule="auto"/>
      </w:pPr>
    </w:p>
    <w:p>
      <w:pPr>
        <w:spacing w:line="480" w:lineRule="auto"/>
        <w:jc w:val="center"/>
      </w:pPr>
      <w:r>
        <w:rPr>
          <w:rFonts w:ascii="Times New Roman" w:cs="Times New Roman" w:eastAsia="Times New Roman" w:hAnsi="Times New Roman"/>
          <w:sz w:val="24"/>
          <w:szCs w:val="24"/>
        </w:rPr>
        <w:t xml:space="preserve">Proponente: Gidget Martínez Hernández</w:t>
      </w:r>
    </w:p>
    <w:p>
      <w:pPr>
        <w:spacing w:line="480" w:lineRule="auto"/>
      </w:pPr>
    </w:p>
    <w:p>
      <w:pPr>
        <w:spacing w:line="480" w:lineRule="auto"/>
      </w:pPr>
    </w:p>
    <w:p>
      <w:pPr>
        <w:spacing w:line="480" w:lineRule="auto"/>
      </w:pPr>
    </w:p>
    <w:p>
      <w:pPr>
        <w:spacing w:line="480" w:lineRule="auto"/>
        <w:jc w:val="center"/>
      </w:pPr>
      <w:r>
        <w:rPr>
          <w:rFonts w:ascii="Times New Roman" w:cs="Times New Roman" w:eastAsia="Times New Roman" w:hAnsi="Times New Roman"/>
          <w:sz w:val="24"/>
          <w:szCs w:val="24"/>
        </w:rPr>
        <w:t xml:space="preserve">Limón, Costa Rica, Junio 2026</w:t>
      </w:r>
    </w:p>
    <w:p>
      <w:pPr>
        <w:spacing w:line="480" w:lineRule="auto"/>
      </w:pPr>
    </w:p>
    <w:p>
      <w:r>
        <w:br w:type="page"/>
      </w:r>
    </w:p>
    <w:p>
      <w:pPr>
        <w:jc w:val="right"/>
      </w:pPr>
      <w:r>
        <w:rPr>
          <w:rFonts w:ascii="Times New Roman" w:cs="Times New Roman" w:eastAsia="Times New Roman" w:hAnsi="Times New Roman"/>
          <w:b/>
          <w:bCs/>
          <w:sz w:val="16"/>
          <w:szCs w:val="16"/>
          <w:highlight w:val="yellow"/>
        </w:rPr>
        <w:t xml:space="preserve">Gidget Martínez Hernández</w:t>
      </w:r>
      <w:r>
        <w:rPr>
          <w:rStyle w:val="FootnoteReference"/>
        </w:rPr>
        <w:footnoteReference w:id="1"/>
      </w:r>
    </w:p>
    <w:p>
      <w:pPr>
        <w:spacing w:line="480" w:lineRule="auto"/>
      </w:pPr>
    </w:p>
    <w:p>
      <w:pPr>
        <w:spacing w:after="120" w:before="120" w:line="480" w:lineRule="auto"/>
        <w:jc w:val="center"/>
      </w:pPr>
      <w:r>
        <w:rPr>
          <w:rFonts w:ascii="Times New Roman" w:cs="Times New Roman" w:eastAsia="Times New Roman" w:hAnsi="Times New Roman"/>
          <w:b/>
          <w:bCs/>
          <w:sz w:val="24"/>
          <w:szCs w:val="24"/>
        </w:rPr>
        <w:t xml:space="preserve">Resumen.</w:t>
      </w:r>
    </w:p>
    <w:p>
      <w:pPr>
        <w:spacing w:line="480" w:lineRule="auto"/>
        <w:jc w:val="both"/>
      </w:pPr>
      <w:r>
        <w:rPr>
          <w:rFonts w:ascii="Times New Roman" w:cs="Times New Roman" w:eastAsia="Times New Roman" w:hAnsi="Times New Roman"/>
          <w:sz w:val="24"/>
          <w:szCs w:val="24"/>
        </w:rPr>
        <w:t xml:space="preserve">La integración de la tecnología digital en las aulas de educación primaria representa uno de los mayores retos actuales para los administradores y docentes de las instituciones educativas costarricenses. Este estudio diagnóstico, realizado en la Escuela Líder General Thomas Guardia (Circuito 01, Dirección Regional de Limón) durante el período lectivo 2026, tuvo como objetivo identificar los factores institucionales y pedagógicos que limitan la integración efectiva de la tecnología digital en los procesos de enseñanza-aprendizaje. Se aplicó un cuestionario estructurado de doce ítems a la totalidad del personal docente (14 docentes). Los resultados revelaron que el 64.3% del personal presenta niveles básico e inicial de competencia digital, el 78.6% no ha recibido capacitación en tecnología educativa en los últimos dos años y el 71.4% desconoce la existencia de un plan institucional de uso tecnológico. Se concluye que la subutilización de los recursos tecnológicos disponibles responde a una confluencia de factores estructurales, formativos e institucionales, y se proponen cuatro ejes estratégicos de gestión educativa para superar esta situación.</w:t>
      </w:r>
    </w:p>
    <w:p>
      <w:pPr>
        <w:spacing w:line="480" w:lineRule="auto"/>
      </w:pPr>
    </w:p>
    <w:p>
      <w:pPr>
        <w:spacing w:line="480" w:lineRule="auto"/>
        <w:jc w:val="both"/>
      </w:pPr>
      <w:r>
        <w:rPr>
          <w:rFonts w:ascii="Times New Roman" w:cs="Times New Roman" w:eastAsia="Times New Roman" w:hAnsi="Times New Roman"/>
          <w:b/>
          <w:bCs/>
          <w:i/>
          <w:iCs/>
          <w:sz w:val="24"/>
          <w:szCs w:val="24"/>
        </w:rPr>
        <w:t xml:space="preserve">Palabras clave: </w:t>
      </w:r>
      <w:r>
        <w:rPr>
          <w:rFonts w:ascii="Times New Roman" w:cs="Times New Roman" w:eastAsia="Times New Roman" w:hAnsi="Times New Roman"/>
          <w:i/>
          <w:iCs/>
          <w:sz w:val="24"/>
          <w:szCs w:val="24"/>
        </w:rPr>
        <w:t xml:space="preserve">tecnología educativa, integración digital, competencias docentes, gestión educativa, administración de centros educativos.</w:t>
      </w:r>
    </w:p>
    <w:p>
      <w:pPr>
        <w:spacing w:line="480" w:lineRule="auto"/>
      </w:pPr>
    </w:p>
    <w:p>
      <w:pPr>
        <w:spacing w:after="120" w:before="120" w:line="480" w:lineRule="auto"/>
        <w:jc w:val="center"/>
      </w:pPr>
      <w:r>
        <w:rPr>
          <w:rFonts w:ascii="Times New Roman" w:cs="Times New Roman" w:eastAsia="Times New Roman" w:hAnsi="Times New Roman"/>
          <w:b/>
          <w:bCs/>
          <w:sz w:val="24"/>
          <w:szCs w:val="24"/>
        </w:rPr>
        <w:t xml:space="preserve">Abstract.</w:t>
      </w:r>
    </w:p>
    <w:p>
      <w:pPr>
        <w:spacing w:line="480" w:lineRule="auto"/>
        <w:jc w:val="both"/>
      </w:pPr>
      <w:r>
        <w:rPr>
          <w:rFonts w:ascii="Times New Roman" w:cs="Times New Roman" w:eastAsia="Times New Roman" w:hAnsi="Times New Roman"/>
          <w:sz w:val="24"/>
          <w:szCs w:val="24"/>
        </w:rPr>
        <w:t xml:space="preserve">The integration of digital technology in primary school classrooms represents one of the greatest current challenges for administrators and teachers in Costa Rican educational institutions. This diagnostic study, conducted at the Escuela Líder General Thomas Guardia (Circuit 01, Regional Education Directorate of Limón) during the 2026 school year, aimed to identify the institutional and pedagogical factors that limit the effective integration of digital technology in teaching-learning processes. A structured twelve-item questionnaire was administered to the entire teaching staff (14 teachers). Results revealed that 64.3% of the staff exhibit basic or initial levels of digital competence, 78.6% have not received training in educational technology in the past two years, and 71.4% are unaware of any institutional technological use plan. It is concluded that the underutilization of available technological resources results from a confluence of structural, formative, and institutional factors, and four strategic educational management axes are proposed to address this situation.</w:t>
      </w:r>
    </w:p>
    <w:p>
      <w:pPr>
        <w:spacing w:line="480" w:lineRule="auto"/>
      </w:pPr>
    </w:p>
    <w:p>
      <w:pPr>
        <w:spacing w:line="480" w:lineRule="auto"/>
        <w:jc w:val="both"/>
      </w:pPr>
      <w:r>
        <w:rPr>
          <w:rFonts w:ascii="Times New Roman" w:cs="Times New Roman" w:eastAsia="Times New Roman" w:hAnsi="Times New Roman"/>
          <w:b/>
          <w:bCs/>
          <w:i/>
          <w:iCs/>
          <w:sz w:val="24"/>
          <w:szCs w:val="24"/>
        </w:rPr>
        <w:t xml:space="preserve">Keywords: </w:t>
      </w:r>
      <w:r>
        <w:rPr>
          <w:rFonts w:ascii="Times New Roman" w:cs="Times New Roman" w:eastAsia="Times New Roman" w:hAnsi="Times New Roman"/>
          <w:i/>
          <w:iCs/>
          <w:sz w:val="24"/>
          <w:szCs w:val="24"/>
        </w:rPr>
        <w:t xml:space="preserve">educational technology, digital integration, teaching competencies, educational management, school administration.</w:t>
      </w:r>
    </w:p>
    <w:p>
      <w:pPr>
        <w:spacing w:line="480" w:lineRule="auto"/>
        <w:jc w:val="both"/>
      </w:pPr>
      <w:r>
        <w:rPr>
          <w:rFonts w:ascii="Times New Roman" w:cs="Times New Roman" w:eastAsia="Times New Roman" w:hAnsi="Times New Roman"/>
          <w:b/>
          <w:bCs/>
          <w:i/>
          <w:iCs/>
          <w:sz w:val="24"/>
          <w:szCs w:val="24"/>
          <w:u w:val="single"/>
        </w:rPr>
        <w:t xml:space="preserve">Nota: </w:t>
      </w:r>
      <w:r>
        <w:rPr>
          <w:rFonts w:ascii="Times New Roman" w:cs="Times New Roman" w:eastAsia="Times New Roman" w:hAnsi="Times New Roman"/>
          <w:sz w:val="24"/>
          <w:szCs w:val="24"/>
        </w:rPr>
        <w:t xml:space="preserve">Este apartado fue elaborado al finalizar el artículo, en tercera persona singular, en tiempo verbal pasado.</w:t>
      </w:r>
    </w:p>
    <w:p>
      <w:pPr>
        <w:spacing w:line="480" w:lineRule="auto"/>
      </w:pPr>
    </w:p>
    <w:p>
      <w:pPr>
        <w:spacing w:line="480" w:lineRule="auto"/>
        <w:ind w:left="567"/>
        <w:jc w:val="both"/>
      </w:pPr>
      <w:r>
        <w:rPr>
          <w:rFonts w:ascii="Times New Roman" w:cs="Times New Roman" w:eastAsia="Times New Roman" w:hAnsi="Times New Roman"/>
          <w:sz w:val="24"/>
          <w:szCs w:val="24"/>
        </w:rPr>
        <w:t xml:space="preserve">El uso de tecnología digital en las aulas de educación primaria representa uno de los mayores retos que enfrentan hoy los administradores y docentes de las instituciones educativas costarricenses. Si bien el acceso a dispositivos y conectividad ha avanzado en los últimos años, persisten importantes brechas en la apropiación pedagógica de estas herramientas, lo que limita su impacto real en los procesos de enseñanza y aprendizaje.</w:t>
      </w:r>
    </w:p>
    <w:p>
      <w:pPr>
        <w:spacing w:line="480" w:lineRule="auto"/>
        <w:ind w:left="567"/>
        <w:jc w:val="both"/>
      </w:pPr>
      <w:r>
        <w:rPr>
          <w:rFonts w:ascii="Times New Roman" w:cs="Times New Roman" w:eastAsia="Times New Roman" w:hAnsi="Times New Roman"/>
          <w:sz w:val="24"/>
          <w:szCs w:val="24"/>
        </w:rPr>
        <w:t xml:space="preserve">En muchas escuelas de primaria se observa que la tecnología disponible —tabletas, computadoras, proyectores, plataformas digitales— no se integra de manera sistemática ni efectiva dentro del currículo. Las causas son diversas: falta de capacitación docente, ausencia de políticas institucionales claras, escasa infraestructura tecnológica, desconocimiento de herramientas pedagógicas digitales y resistencia al cambio. Esta situación genera una desconexión entre los recursos existentes y su aprovechamiento pedagógico.</w:t>
      </w:r>
    </w:p>
    <w:p>
      <w:pPr>
        <w:spacing w:line="480" w:lineRule="auto"/>
        <w:ind w:left="567"/>
        <w:jc w:val="both"/>
      </w:pPr>
      <w:r>
        <w:rPr>
          <w:rFonts w:ascii="Times New Roman" w:cs="Times New Roman" w:eastAsia="Times New Roman" w:hAnsi="Times New Roman"/>
          <w:sz w:val="24"/>
          <w:szCs w:val="24"/>
        </w:rPr>
        <w:t xml:space="preserve">Desde la perspectiva de la Administración Educativa, esta problemática requiere una mirada diagnóstica que permita identificar los principales obstáculos y proponer estrategias de mejora a nivel institucional. La presente investigación busca diagnosticar la situación actual del uso de tecnología en el aula, identificar las principales debilidades y formular recomendaciones que orienten la gestión educativa hacia una integración efectiva y significativa de la tecnología digital en los procesos de enseñanza de primaria.</w:t>
      </w:r>
    </w:p>
    <w:p>
      <w:pPr>
        <w:spacing w:line="480" w:lineRule="auto"/>
      </w:pPr>
    </w:p>
    <w:p>
      <w:pPr>
        <w:spacing w:line="480" w:lineRule="auto"/>
        <w:jc w:val="left"/>
      </w:pPr>
      <w:r>
        <w:rPr>
          <w:rFonts w:ascii="Times New Roman" w:cs="Times New Roman" w:eastAsia="Times New Roman" w:hAnsi="Times New Roman"/>
          <w:b/>
          <w:bCs/>
          <w:sz w:val="24"/>
          <w:szCs w:val="24"/>
        </w:rPr>
        <w:t xml:space="preserve">1.1 Antecedentes y Justificación</w:t>
      </w:r>
    </w:p>
    <w:p>
      <w:pPr>
        <w:spacing w:line="480" w:lineRule="auto"/>
        <w:ind w:left="567"/>
        <w:jc w:val="both"/>
      </w:pPr>
      <w:r>
        <w:rPr>
          <w:rFonts w:ascii="Times New Roman" w:cs="Times New Roman" w:eastAsia="Times New Roman" w:hAnsi="Times New Roman"/>
          <w:sz w:val="24"/>
          <w:szCs w:val="24"/>
        </w:rPr>
        <w:t xml:space="preserve">En el contexto educativo costarricense contemporáneo, la integración de la tecnología digital en los procesos de enseñanza y aprendizaje constituye una prioridad estratégica tanto para el Ministerio de Educación Pública (MEP) como para las instituciones escolares. A pesar de los esfuerzos realizados en materia de dotación de equipos y conectividad, persisten importantes brechas entre la disponibilidad tecnológica y su aprovechamiento pedagógico efectivo, especialmente en las escuelas de primaria de zonas con rezago socioeconómico como la región de Limón.</w:t>
      </w:r>
    </w:p>
    <w:p>
      <w:pPr>
        <w:spacing w:line="480" w:lineRule="auto"/>
        <w:ind w:left="567"/>
        <w:jc w:val="both"/>
      </w:pPr>
      <w:r>
        <w:rPr>
          <w:rFonts w:ascii="Times New Roman" w:cs="Times New Roman" w:eastAsia="Times New Roman" w:hAnsi="Times New Roman"/>
          <w:sz w:val="24"/>
          <w:szCs w:val="24"/>
        </w:rPr>
        <w:t xml:space="preserve">La Escuela Líder General Thomas Guardia, perteneciente al Circuito 01 de la Dirección Regional de Limón, no escapa a esta realidad. Los docentes de dicha institución enfrentan cotidianamente dificultades para incorporar herramientas digitales en sus prácticas pedagógicas, lo cual se traduce en una subutilización de los recursos disponibles y en oportunidades de aprendizaje desaprovechadas para los estudiantes. Esta situación motiva la realización de la presente investigación, cuya finalidad es generar un diagnóstico preciso que permita orientar decisiones administrativas y pedagógicas hacia una integración tecnológica efectiva.</w:t>
      </w:r>
    </w:p>
    <w:p>
      <w:pPr>
        <w:spacing w:line="480" w:lineRule="auto"/>
        <w:ind w:left="567"/>
        <w:jc w:val="both"/>
      </w:pPr>
      <w:r>
        <w:rPr>
          <w:rFonts w:ascii="Times New Roman" w:cs="Times New Roman" w:eastAsia="Times New Roman" w:hAnsi="Times New Roman"/>
          <w:sz w:val="24"/>
          <w:szCs w:val="24"/>
        </w:rPr>
        <w:t xml:space="preserve">La justificación de esta investigación se sustenta en tres dimensiones fundamentales. En primer lugar, desde el punto de vista académico, contribuye al campo de la Administración Educativa al aportar evidencia empírica sobre los factores institucionales que inciden en la integración de la tecnología digital. En segundo lugar, desde la perspectiva práctica, sus resultados y recomendaciones pueden ser implementados por la dirección y el personal docente para mejorar la calidad educativa. En tercer lugar, desde la dimensión social, el fortalecimiento del uso pedagógico de la tecnología beneficia directamente a la población estudiantil, cuyo acceso equitativo a las competencias digitales es un imperativo de justicia educativa.</w:t>
      </w:r>
    </w:p>
    <w:p>
      <w:pPr>
        <w:spacing w:line="480" w:lineRule="auto"/>
      </w:pPr>
    </w:p>
    <w:p>
      <w:pPr>
        <w:spacing w:line="480" w:lineRule="auto"/>
        <w:jc w:val="left"/>
      </w:pPr>
      <w:r>
        <w:rPr>
          <w:rFonts w:ascii="Times New Roman" w:cs="Times New Roman" w:eastAsia="Times New Roman" w:hAnsi="Times New Roman"/>
          <w:b/>
          <w:bCs/>
          <w:sz w:val="24"/>
          <w:szCs w:val="24"/>
        </w:rPr>
        <w:t xml:space="preserve">1.2 Preguntas Generadoras</w:t>
      </w:r>
    </w:p>
    <w:p>
      <w:pPr>
        <w:spacing w:line="480" w:lineRule="auto"/>
        <w:ind w:left="567"/>
        <w:jc w:val="both"/>
      </w:pPr>
      <w:r>
        <w:rPr>
          <w:rFonts w:ascii="Times New Roman" w:cs="Times New Roman" w:eastAsia="Times New Roman" w:hAnsi="Times New Roman"/>
          <w:sz w:val="24"/>
          <w:szCs w:val="24"/>
        </w:rPr>
        <w:t xml:space="preserve">Con el propósito de orientar el proceso investigativo, se plantean las siguientes preguntas generadoras:</w:t>
      </w:r>
    </w:p>
    <w:p>
      <w:pPr>
        <w:spacing w:line="480" w:lineRule="auto"/>
        <w:ind w:left="567"/>
        <w:jc w:val="both"/>
      </w:pPr>
      <w:r>
        <w:rPr>
          <w:rFonts w:ascii="Times New Roman" w:cs="Times New Roman" w:eastAsia="Times New Roman" w:hAnsi="Times New Roman"/>
          <w:sz w:val="24"/>
          <w:szCs w:val="24"/>
        </w:rPr>
        <w:t xml:space="preserve">¿Cuál es el nivel de integración de la tecnología digital en las prácticas pedagógicas de los docentes de la Escuela Líder General Thomas Guardia?</w:t>
      </w:r>
    </w:p>
    <w:p>
      <w:pPr>
        <w:spacing w:line="480" w:lineRule="auto"/>
        <w:ind w:left="567"/>
        <w:jc w:val="both"/>
      </w:pPr>
      <w:r>
        <w:rPr>
          <w:rFonts w:ascii="Times New Roman" w:cs="Times New Roman" w:eastAsia="Times New Roman" w:hAnsi="Times New Roman"/>
          <w:sz w:val="24"/>
          <w:szCs w:val="24"/>
        </w:rPr>
        <w:t xml:space="preserve">¿Cuáles son los principales factores institucionales y pedagógicos que limitan el uso efectivo de la tecnología digital en el aula de primaria?</w:t>
      </w:r>
    </w:p>
    <w:p>
      <w:pPr>
        <w:spacing w:line="480" w:lineRule="auto"/>
        <w:ind w:left="567"/>
        <w:jc w:val="both"/>
      </w:pPr>
      <w:r>
        <w:rPr>
          <w:rFonts w:ascii="Times New Roman" w:cs="Times New Roman" w:eastAsia="Times New Roman" w:hAnsi="Times New Roman"/>
          <w:sz w:val="24"/>
          <w:szCs w:val="24"/>
        </w:rPr>
        <w:t xml:space="preserve">¿De qué manera la capacitación docente y la existencia de un plan institucional inciden en la apropiación pedagógica de la tecnología?</w:t>
      </w:r>
    </w:p>
    <w:p>
      <w:pPr>
        <w:spacing w:line="480" w:lineRule="auto"/>
        <w:ind w:left="567"/>
        <w:jc w:val="both"/>
      </w:pPr>
      <w:r>
        <w:rPr>
          <w:rFonts w:ascii="Times New Roman" w:cs="Times New Roman" w:eastAsia="Times New Roman" w:hAnsi="Times New Roman"/>
          <w:sz w:val="24"/>
          <w:szCs w:val="24"/>
        </w:rPr>
        <w:t xml:space="preserve">¿Qué estrategias de gestión educativa permitirían fortalecer la integración tecnológica en la institución durante el año 2026?</w:t>
      </w:r>
    </w:p>
    <w:p>
      <w:pPr>
        <w:spacing w:line="480" w:lineRule="auto"/>
      </w:pPr>
    </w:p>
    <w:p>
      <w:pPr>
        <w:spacing w:line="480" w:lineRule="auto"/>
        <w:jc w:val="left"/>
      </w:pPr>
      <w:r>
        <w:rPr>
          <w:rFonts w:ascii="Times New Roman" w:cs="Times New Roman" w:eastAsia="Times New Roman" w:hAnsi="Times New Roman"/>
          <w:b/>
          <w:bCs/>
          <w:sz w:val="24"/>
          <w:szCs w:val="24"/>
        </w:rPr>
        <w:t xml:space="preserve">1.3 Planteamiento del Problema</w:t>
      </w:r>
    </w:p>
    <w:p>
      <w:pPr>
        <w:spacing w:line="480" w:lineRule="auto"/>
        <w:ind w:left="567"/>
        <w:jc w:val="both"/>
      </w:pPr>
      <w:r>
        <w:rPr>
          <w:rFonts w:ascii="Times New Roman" w:cs="Times New Roman" w:eastAsia="Times New Roman" w:hAnsi="Times New Roman"/>
          <w:sz w:val="24"/>
          <w:szCs w:val="24"/>
        </w:rPr>
        <w:t xml:space="preserve">La incorporación de la tecnología digital en la educación primaria es reconocida mundialmente como un factor clave para mejorar la calidad de los procesos de enseñanza y aprendizaje. Sin embargo, en la realidad de muchas instituciones costarricenses, y particularmente en la Escuela Líder General Thomas Guardia del Circuito 01 de Limón, esta integración no ocurre de manera sistemática ni significativa.</w:t>
      </w:r>
    </w:p>
    <w:p>
      <w:pPr>
        <w:spacing w:line="480" w:lineRule="auto"/>
        <w:ind w:left="567"/>
        <w:jc w:val="both"/>
      </w:pPr>
      <w:r>
        <w:rPr>
          <w:rFonts w:ascii="Times New Roman" w:cs="Times New Roman" w:eastAsia="Times New Roman" w:hAnsi="Times New Roman"/>
          <w:sz w:val="24"/>
          <w:szCs w:val="24"/>
        </w:rPr>
        <w:t xml:space="preserve">A pesar de contar con algunos dispositivos tecnológicos —computadoras, tabletas, proyectores y acceso intermitente a internet—, la institución carece de un plan institucional explícito que regule y promueva el uso pedagógico de estas herramientas. Paralelamente, los docentes reportan niveles insuficientes de capacitación para integrar la tecnología en sus prácticas cotidianas, lo que se traduce en una escasa utilización de plataformas educativas digitales y en una desconexión entre los recursos tecnológicos disponibles y las necesidades curriculares.</w:t>
      </w:r>
    </w:p>
    <w:p>
      <w:pPr>
        <w:spacing w:line="480" w:lineRule="auto"/>
        <w:ind w:left="567"/>
        <w:jc w:val="both"/>
      </w:pPr>
      <w:r>
        <w:rPr>
          <w:rFonts w:ascii="Times New Roman" w:cs="Times New Roman" w:eastAsia="Times New Roman" w:hAnsi="Times New Roman"/>
          <w:sz w:val="24"/>
          <w:szCs w:val="24"/>
        </w:rPr>
        <w:t xml:space="preserve">Esta problemática se agudiza en el contexto socioeconómico de la región Caribe, donde las brechas digitales son más pronunciadas tanto en el ámbito institucional como en el familiar. Muchos estudiantes no disponen de acceso a internet en sus hogares, lo que limita la continuidad de procesos de aprendizaje mediados por tecnología fuera del aula.</w:t>
      </w:r>
    </w:p>
    <w:p>
      <w:pPr>
        <w:spacing w:line="480" w:lineRule="auto"/>
        <w:ind w:left="567"/>
        <w:jc w:val="both"/>
      </w:pPr>
      <w:r>
        <w:rPr>
          <w:rFonts w:ascii="Times New Roman" w:cs="Times New Roman" w:eastAsia="Times New Roman" w:hAnsi="Times New Roman"/>
          <w:sz w:val="24"/>
          <w:szCs w:val="24"/>
        </w:rPr>
        <w:t xml:space="preserve">En consecuencia, se plantea la siguiente pregunta de investigación:</w:t>
      </w:r>
    </w:p>
    <w:p>
      <w:pPr>
        <w:spacing w:line="480" w:lineRule="auto"/>
        <w:ind w:left="567"/>
        <w:jc w:val="both"/>
      </w:pPr>
      <w:r>
        <w:rPr>
          <w:rFonts w:ascii="Times New Roman" w:cs="Times New Roman" w:eastAsia="Times New Roman" w:hAnsi="Times New Roman"/>
          <w:i/>
          <w:iCs/>
          <w:sz w:val="24"/>
          <w:szCs w:val="24"/>
        </w:rPr>
        <w:t xml:space="preserve">¿De qué manera la falta de capacitación docente y la ausencia de un plan institucional limitan la integración efectiva de la tecnología digital en el proceso de enseñanza-aprendizaje en la Escuela Líder General Thomas Guardia, Circuito 01, Dirección Regional de Limón, durante el año 2026?</w:t>
      </w:r>
    </w:p>
    <w:p>
      <w:pPr>
        <w:spacing w:line="480" w:lineRule="auto"/>
      </w:pPr>
    </w:p>
    <w:p>
      <w:pPr>
        <w:spacing w:line="480" w:lineRule="auto"/>
        <w:jc w:val="left"/>
      </w:pPr>
      <w:r>
        <w:rPr>
          <w:rFonts w:ascii="Times New Roman" w:cs="Times New Roman" w:eastAsia="Times New Roman" w:hAnsi="Times New Roman"/>
          <w:b/>
          <w:bCs/>
          <w:sz w:val="24"/>
          <w:szCs w:val="24"/>
        </w:rPr>
        <w:t xml:space="preserve">1.4 Objetivos de la Investigación</w:t>
      </w:r>
    </w:p>
    <w:p>
      <w:pPr>
        <w:spacing w:line="480" w:lineRule="auto"/>
        <w:jc w:val="left"/>
      </w:pPr>
      <w:r>
        <w:rPr>
          <w:rFonts w:ascii="Times New Roman" w:cs="Times New Roman" w:eastAsia="Times New Roman" w:hAnsi="Times New Roman"/>
          <w:b/>
          <w:bCs/>
          <w:sz w:val="24"/>
          <w:szCs w:val="24"/>
        </w:rPr>
        <w:t xml:space="preserve">1.4.1 Objetivo General</w:t>
      </w:r>
    </w:p>
    <w:p>
      <w:pPr>
        <w:spacing w:line="480" w:lineRule="auto"/>
        <w:ind w:left="567"/>
        <w:jc w:val="both"/>
      </w:pPr>
      <w:r>
        <w:rPr>
          <w:rFonts w:ascii="Times New Roman" w:cs="Times New Roman" w:eastAsia="Times New Roman" w:hAnsi="Times New Roman"/>
          <w:sz w:val="24"/>
          <w:szCs w:val="24"/>
        </w:rPr>
        <w:t xml:space="preserve">Diagnosticar los factores institucionales y pedagógicos que limitan la integración efectiva de la tecnología digital en el proceso de enseñanza-aprendizaje de la Escuela Líder General Thomas Guardia, con el fin de proponer estrategias de gestión educativa que favorezcan su uso sistemático y significativo durante el año 2026.</w:t>
      </w:r>
    </w:p>
    <w:p>
      <w:pPr>
        <w:spacing w:line="480" w:lineRule="auto"/>
        <w:jc w:val="left"/>
      </w:pPr>
      <w:r>
        <w:rPr>
          <w:rFonts w:ascii="Times New Roman" w:cs="Times New Roman" w:eastAsia="Times New Roman" w:hAnsi="Times New Roman"/>
          <w:b/>
          <w:bCs/>
          <w:sz w:val="24"/>
          <w:szCs w:val="24"/>
        </w:rPr>
        <w:t xml:space="preserve">1.4.2 Objetivos Específicos</w:t>
      </w:r>
    </w:p>
    <w:p>
      <w:pPr>
        <w:spacing w:line="480" w:lineRule="auto"/>
        <w:ind w:left="567"/>
        <w:jc w:val="both"/>
      </w:pPr>
      <w:r>
        <w:rPr>
          <w:rFonts w:ascii="Times New Roman" w:cs="Times New Roman" w:eastAsia="Times New Roman" w:hAnsi="Times New Roman"/>
          <w:sz w:val="24"/>
          <w:szCs w:val="24"/>
        </w:rPr>
        <w:t xml:space="preserve">Identificar el nivel de uso de la tecnología digital por parte de los docentes de la Escuela Líder General Thomas Guardia durante el período lectivo 2026.</w:t>
      </w:r>
    </w:p>
    <w:p>
      <w:pPr>
        <w:spacing w:line="480" w:lineRule="auto"/>
        <w:ind w:left="567"/>
        <w:jc w:val="both"/>
      </w:pPr>
      <w:r>
        <w:rPr>
          <w:rFonts w:ascii="Times New Roman" w:cs="Times New Roman" w:eastAsia="Times New Roman" w:hAnsi="Times New Roman"/>
          <w:sz w:val="24"/>
          <w:szCs w:val="24"/>
        </w:rPr>
        <w:t xml:space="preserve">Determinar las principales debilidades institucionales que obstaculizan la integración pedagógica de la tecnología digital en el aula de primaria.</w:t>
      </w:r>
    </w:p>
    <w:p>
      <w:pPr>
        <w:spacing w:line="480" w:lineRule="auto"/>
        <w:ind w:left="567"/>
        <w:jc w:val="both"/>
      </w:pPr>
      <w:r>
        <w:rPr>
          <w:rFonts w:ascii="Times New Roman" w:cs="Times New Roman" w:eastAsia="Times New Roman" w:hAnsi="Times New Roman"/>
          <w:sz w:val="24"/>
          <w:szCs w:val="24"/>
        </w:rPr>
        <w:t xml:space="preserve">Analizar la relación entre la capacitación docente, la existencia de políticas institucionales y el nivel de aprovechamiento pedagógico de la tecnología.</w:t>
      </w:r>
    </w:p>
    <w:p>
      <w:pPr>
        <w:spacing w:line="480" w:lineRule="auto"/>
        <w:ind w:left="567"/>
        <w:jc w:val="both"/>
      </w:pPr>
      <w:r>
        <w:rPr>
          <w:rFonts w:ascii="Times New Roman" w:cs="Times New Roman" w:eastAsia="Times New Roman" w:hAnsi="Times New Roman"/>
          <w:sz w:val="24"/>
          <w:szCs w:val="24"/>
        </w:rPr>
        <w:t xml:space="preserve">Proponer recomendaciones de gestión educativa que orienten a la dirección institucional hacia una integración efectiva de la tecnología digital en los procesos pedagógicos.</w:t>
      </w:r>
    </w:p>
    <w:p>
      <w:pPr>
        <w:spacing w:line="480" w:lineRule="auto"/>
      </w:pPr>
    </w:p>
    <w:p>
      <w:pPr>
        <w:spacing w:line="480" w:lineRule="auto"/>
        <w:jc w:val="left"/>
      </w:pPr>
      <w:r>
        <w:rPr>
          <w:rFonts w:ascii="Times New Roman" w:cs="Times New Roman" w:eastAsia="Times New Roman" w:hAnsi="Times New Roman"/>
          <w:b/>
          <w:bCs/>
          <w:sz w:val="24"/>
          <w:szCs w:val="24"/>
        </w:rPr>
        <w:t xml:space="preserve">1.5 Antecedentes</w:t>
      </w:r>
    </w:p>
    <w:p>
      <w:pPr>
        <w:spacing w:line="480" w:lineRule="auto"/>
        <w:jc w:val="left"/>
      </w:pPr>
      <w:r>
        <w:rPr>
          <w:rFonts w:ascii="Times New Roman" w:cs="Times New Roman" w:eastAsia="Times New Roman" w:hAnsi="Times New Roman"/>
          <w:b/>
          <w:bCs/>
          <w:sz w:val="24"/>
          <w:szCs w:val="24"/>
        </w:rPr>
        <w:t xml:space="preserve">1.5.1 Reseña de la Institución Educativa</w:t>
      </w:r>
    </w:p>
    <w:p>
      <w:pPr>
        <w:spacing w:line="480" w:lineRule="auto"/>
        <w:ind w:left="567"/>
        <w:jc w:val="both"/>
      </w:pPr>
      <w:r>
        <w:rPr>
          <w:rFonts w:ascii="Times New Roman" w:cs="Times New Roman" w:eastAsia="Times New Roman" w:hAnsi="Times New Roman"/>
          <w:sz w:val="24"/>
          <w:szCs w:val="24"/>
        </w:rPr>
        <w:t xml:space="preserve">La Escuela Líder General Thomas Guardia es un centro educativo público de primaria que forma parte del Circuito Escolar 01 de la Dirección Regional de Enseñanza de Limón, perteneciente al Ministerio de Educación Pública de Costa Rica. La institución ha prestado sus servicios educativos a la comunidad de la región Caribe durante varias décadas, consolidándose como una de las escuelas de referencia en su circuito.</w:t>
      </w:r>
    </w:p>
    <w:p>
      <w:pPr>
        <w:spacing w:line="480" w:lineRule="auto"/>
        <w:ind w:left="567"/>
        <w:jc w:val="both"/>
      </w:pPr>
      <w:r>
        <w:rPr>
          <w:rFonts w:ascii="Times New Roman" w:cs="Times New Roman" w:eastAsia="Times New Roman" w:hAnsi="Times New Roman"/>
          <w:sz w:val="24"/>
          <w:szCs w:val="24"/>
        </w:rPr>
        <w:t xml:space="preserve">La escuela atiende población estudiantil de materno a sexto grado de educación primaria, con una matrícula que refleja la diversidad sociocultural característica de la provincia de Limón, donde conviven comunidades afrodescendientes, mestizas e indígenas. La institución cuenta con personal docente nombrado en propiedad e interino, así como con una dirección activa que coordina los procesos pedagógicos y administrativos del centro.</w:t>
      </w:r>
    </w:p>
    <w:p>
      <w:pPr>
        <w:spacing w:line="480" w:lineRule="auto"/>
        <w:ind w:left="567"/>
        <w:jc w:val="both"/>
      </w:pPr>
      <w:r>
        <w:rPr>
          <w:rFonts w:ascii="Times New Roman" w:cs="Times New Roman" w:eastAsia="Times New Roman" w:hAnsi="Times New Roman"/>
          <w:sz w:val="24"/>
          <w:szCs w:val="24"/>
        </w:rPr>
        <w:t xml:space="preserve">En cuanto a infraestructura tecnológica, la escuela dispone de un aula de cómputo con equipos de escritorio de antigüedad variable, algunas tabletas de dotación institucional, proyectores en ciertas aulas y conectividad a internet provista por el programa gubernamental de conectividad escolar. No obstante, estas condiciones no han sido suficientes para garantizar una integración tecnológica sistemática en los procesos de enseñanza.</w:t>
      </w:r>
    </w:p>
    <w:p>
      <w:pPr>
        <w:spacing w:line="480" w:lineRule="auto"/>
      </w:pPr>
    </w:p>
    <w:p>
      <w:pPr>
        <w:spacing w:line="480" w:lineRule="auto"/>
        <w:jc w:val="left"/>
      </w:pPr>
      <w:r>
        <w:rPr>
          <w:rFonts w:ascii="Times New Roman" w:cs="Times New Roman" w:eastAsia="Times New Roman" w:hAnsi="Times New Roman"/>
          <w:b/>
          <w:bCs/>
          <w:sz w:val="24"/>
          <w:szCs w:val="24"/>
        </w:rPr>
        <w:t xml:space="preserve">1.5.2 Información de la Zona Geográfica</w:t>
      </w:r>
    </w:p>
    <w:p>
      <w:pPr>
        <w:spacing w:line="480" w:lineRule="auto"/>
        <w:ind w:left="567"/>
        <w:jc w:val="both"/>
      </w:pPr>
      <w:r>
        <w:rPr>
          <w:rFonts w:ascii="Times New Roman" w:cs="Times New Roman" w:eastAsia="Times New Roman" w:hAnsi="Times New Roman"/>
          <w:sz w:val="24"/>
          <w:szCs w:val="24"/>
        </w:rPr>
        <w:t xml:space="preserve">La provincia de Limón, también conocida como la región Caribe de Costa Rica, se localiza en el litoral atlántico del país. Es la provincia más grande del territorio nacional en extensión, pero una de las que presenta mayores índices de pobreza y exclusión social. Según datos del Instituto Nacional de Estadística y Censos (INEC), Limón registra indicadores socioeconómicos por debajo de la media nacional, con altos porcentajes de desempleo, economía informal y hogares con acceso limitado a servicios básicos y tecnológicos.</w:t>
      </w:r>
    </w:p>
    <w:p>
      <w:pPr>
        <w:spacing w:line="480" w:lineRule="auto"/>
        <w:ind w:left="567"/>
        <w:jc w:val="both"/>
      </w:pPr>
      <w:r>
        <w:rPr>
          <w:rFonts w:ascii="Times New Roman" w:cs="Times New Roman" w:eastAsia="Times New Roman" w:hAnsi="Times New Roman"/>
          <w:sz w:val="24"/>
          <w:szCs w:val="24"/>
        </w:rPr>
        <w:t xml:space="preserve">La ciudad de Limón, cabecera de la provincia, concentra la mayor parte de los servicios educativos, comerciales e institucionales de la región. Sin embargo, la conectividad digital sigue siendo una limitación importante tanto para los hogares como para las instituciones educativas, en comparación con la Gran Área Metropolitana. Esta realidad contextual incide directamente en la problemática investigada, ya que los estudiantes de la Escuela Líder General Thomas Guardia provienen en su mayoría de hogares con acceso reducido a dispositivos tecnológicos e internet.</w:t>
      </w:r>
    </w:p>
    <w:p>
      <w:pPr>
        <w:spacing w:line="480" w:lineRule="auto"/>
        <w:ind w:left="567"/>
        <w:jc w:val="both"/>
      </w:pPr>
      <w:r>
        <w:rPr>
          <w:rFonts w:ascii="Times New Roman" w:cs="Times New Roman" w:eastAsia="Times New Roman" w:hAnsi="Times New Roman"/>
          <w:sz w:val="24"/>
          <w:szCs w:val="24"/>
        </w:rPr>
        <w:t xml:space="preserve">Desde el punto de vista educativo, la Dirección Regional de Limón atiende una vasta cobertura geográfica que incluye zonas rurales y costeras de difícil acceso, lo que complejiza la implementación de programas de formación docente y de dotación tecnológica. Esta situación refuerza la necesidad de contar con diagnósticos institucionales que orienten las decisiones de gestión hacia intervenciones pertinentes y contextualizadas.</w:t>
      </w:r>
    </w:p>
    <w:p>
      <w:pPr>
        <w:spacing w:line="480" w:lineRule="auto"/>
      </w:pPr>
    </w:p>
    <w:p>
      <w:pPr>
        <w:spacing w:line="480" w:lineRule="auto"/>
        <w:jc w:val="left"/>
      </w:pPr>
      <w:r>
        <w:rPr>
          <w:rFonts w:ascii="Times New Roman" w:cs="Times New Roman" w:eastAsia="Times New Roman" w:hAnsi="Times New Roman"/>
          <w:b/>
          <w:bCs/>
          <w:sz w:val="24"/>
          <w:szCs w:val="24"/>
        </w:rPr>
        <w:t xml:space="preserve">1.5.3 Revisión Bibliográfica y Referencial Teórico</w:t>
      </w:r>
    </w:p>
    <w:p>
      <w:pPr>
        <w:spacing w:line="480" w:lineRule="auto"/>
        <w:ind w:left="567"/>
        <w:jc w:val="both"/>
      </w:pPr>
      <w:r>
        <w:rPr>
          <w:rFonts w:ascii="Times New Roman" w:cs="Times New Roman" w:eastAsia="Times New Roman" w:hAnsi="Times New Roman"/>
          <w:sz w:val="24"/>
          <w:szCs w:val="24"/>
        </w:rPr>
        <w:t xml:space="preserve">La integración de la tecnología digital en la educación ha sido objeto de amplio estudio en las últimas décadas. Desde los trabajos pioneros de Papert (1980) sobre el aprendizaje mediado por computadoras hasta las propuestas contemporáneas sobre competencias digitales docentes (Redecker, 2017), existe un corpus teórico robusto que fundamenta la importancia de gestionar pedagógicamente los recursos tecnológicos en las instituciones educativas.</w:t>
      </w:r>
    </w:p>
    <w:p>
      <w:pPr>
        <w:spacing w:line="480" w:lineRule="auto"/>
        <w:ind w:left="567"/>
        <w:jc w:val="both"/>
      </w:pPr>
      <w:r>
        <w:rPr>
          <w:rFonts w:ascii="Times New Roman" w:cs="Times New Roman" w:eastAsia="Times New Roman" w:hAnsi="Times New Roman"/>
          <w:sz w:val="24"/>
          <w:szCs w:val="24"/>
        </w:rPr>
        <w:t xml:space="preserve">En el contexto latinoamericano, autores como Sunkel y Trucco (2012) han documentado la paradoja de la infraestructura digital: la dotación de equipos no garantiza por sí sola su aprovechamiento pedagógico. Según estos investigadores, sin formación docente contextualizada y políticas institucionales claras, la tecnología tiende a permanecer subutilizada o a utilizarse para fines meramente administrativos o de entretenimiento.</w:t>
      </w:r>
    </w:p>
    <w:p>
      <w:pPr>
        <w:spacing w:line="480" w:lineRule="auto"/>
        <w:ind w:left="567"/>
        <w:jc w:val="both"/>
      </w:pPr>
      <w:r>
        <w:rPr>
          <w:rFonts w:ascii="Times New Roman" w:cs="Times New Roman" w:eastAsia="Times New Roman" w:hAnsi="Times New Roman"/>
          <w:sz w:val="24"/>
          <w:szCs w:val="24"/>
        </w:rPr>
        <w:t xml:space="preserve">El marco conceptual del presente estudio se sustenta en el modelo TPACK (Technological Pedagogical Content Knowledge) propuesto por Mishra y Koehler (2006), que establece que la integración efectiva de la tecnología requiere que los docentes articulen de manera simultánea conocimientos tecnológicos, pedagógicos y disciplinares. La ausencia de cualquiera de estos conocimientos limita la capacidad del docente para diseñar experiencias de aprendizaje digitalmente enriquecidas.</w:t>
      </w:r>
    </w:p>
    <w:p>
      <w:pPr>
        <w:spacing w:line="480" w:lineRule="auto"/>
        <w:ind w:left="567"/>
        <w:jc w:val="both"/>
      </w:pPr>
      <w:r>
        <w:rPr>
          <w:rFonts w:ascii="Times New Roman" w:cs="Times New Roman" w:eastAsia="Times New Roman" w:hAnsi="Times New Roman"/>
          <w:sz w:val="24"/>
          <w:szCs w:val="24"/>
        </w:rPr>
        <w:t xml:space="preserve">Desde la perspectiva de la gestión educativa, el modelo de liderazgo pedagógico de Leithwood (2004) plantea que el director escolar juega un rol determinante en la creación de condiciones institucionales que favorecen la innovación docente. Aplicado al contexto tecnológico, esto implica que el administrador educativo debe promover la capacitación continua, gestionar los recursos tecnológicos y establecer políticas institucionales que normen y estimulen el uso pedagógico de la tecnología.</w:t>
      </w:r>
    </w:p>
    <w:p>
      <w:pPr>
        <w:spacing w:line="480" w:lineRule="auto"/>
        <w:ind w:left="567"/>
        <w:jc w:val="both"/>
      </w:pPr>
      <w:r>
        <w:rPr>
          <w:rFonts w:ascii="Times New Roman" w:cs="Times New Roman" w:eastAsia="Times New Roman" w:hAnsi="Times New Roman"/>
          <w:sz w:val="24"/>
          <w:szCs w:val="24"/>
        </w:rPr>
        <w:t xml:space="preserve">En Costa Rica, el MEP ha impulsado el marco curricular de Educar para una Nueva Ciudadanía (2015), que promueve el uso de la tecnología como mediadora del aprendizaje activo y colaborativo. Asimismo, el Programa Nacional de Tecnologías Móviles (Tecno@prender) ha buscado dotar a las escuelas de dispositivos digitales. Sin embargo, investigaciones como la de Chacón y Ramírez (2019) señalan que estos esfuerzos han tenido impacto desigual debido a la falta de acompañamiento pedagógico posterior a la dotación.</w:t>
      </w:r>
    </w:p>
    <w:p>
      <w:pPr>
        <w:spacing w:line="480" w:lineRule="auto"/>
      </w:pPr>
    </w:p>
    <w:p>
      <w:pPr>
        <w:spacing w:line="480" w:lineRule="auto"/>
        <w:jc w:val="left"/>
      </w:pPr>
      <w:r>
        <w:rPr>
          <w:rFonts w:ascii="Times New Roman" w:cs="Times New Roman" w:eastAsia="Times New Roman" w:hAnsi="Times New Roman"/>
          <w:b/>
          <w:bCs/>
          <w:sz w:val="24"/>
          <w:szCs w:val="24"/>
        </w:rPr>
        <w:t xml:space="preserve">1.5.4 Análisis del Estado del Arte</w:t>
      </w:r>
    </w:p>
    <w:p>
      <w:pPr>
        <w:spacing w:line="480" w:lineRule="auto"/>
        <w:ind w:left="567"/>
        <w:jc w:val="both"/>
      </w:pPr>
      <w:r>
        <w:rPr>
          <w:rFonts w:ascii="Times New Roman" w:cs="Times New Roman" w:eastAsia="Times New Roman" w:hAnsi="Times New Roman"/>
          <w:sz w:val="24"/>
          <w:szCs w:val="24"/>
        </w:rPr>
        <w:t xml:space="preserve">El estado del arte en torno a la integración tecnológica en la educación primaria evidencia una evolución conceptual significativa: se ha transitado desde enfoques centrados en la incorporación de hardware y software hacia perspectivas que priorizan la transformación de las prácticas pedagógicas y el desarrollo de competencias digitales tanto en docentes como en estudiantes.</w:t>
      </w:r>
    </w:p>
    <w:p>
      <w:pPr>
        <w:spacing w:line="480" w:lineRule="auto"/>
        <w:ind w:left="567"/>
        <w:jc w:val="both"/>
      </w:pPr>
      <w:r>
        <w:rPr>
          <w:rFonts w:ascii="Times New Roman" w:cs="Times New Roman" w:eastAsia="Times New Roman" w:hAnsi="Times New Roman"/>
          <w:sz w:val="24"/>
          <w:szCs w:val="24"/>
        </w:rPr>
        <w:t xml:space="preserve">Investigaciones recientes como las de Coll (2021) subrayan que el potencial educativo de la tecnología no reside en los dispositivos en sí mismos, sino en el tipo de actividad cognitiva que propician cuando se utilizan con intencionalidad pedagógica. En esta línea, el diseño de ambientes de aprendizaje digitalmente enriquecidos requiere de docentes que no solo dominen las herramientas, sino que sean capaces de integrarlas creativamente en el currículo.</w:t>
      </w:r>
    </w:p>
    <w:p>
      <w:pPr>
        <w:spacing w:line="480" w:lineRule="auto"/>
        <w:ind w:left="567"/>
        <w:jc w:val="both"/>
      </w:pPr>
      <w:r>
        <w:rPr>
          <w:rFonts w:ascii="Times New Roman" w:cs="Times New Roman" w:eastAsia="Times New Roman" w:hAnsi="Times New Roman"/>
          <w:sz w:val="24"/>
          <w:szCs w:val="24"/>
        </w:rPr>
        <w:t xml:space="preserve">A nivel centroamericano, el informe del Banco Mundial (2022) sobre educación y tecnología en América Latina señala que los países con mayores avances en integración tecnológica educativa son aquellos que han invertido simultáneamente en infraestructura, capacitación docente continua y sistemas de monitoreo y evaluación del uso tecnológico. Esta evidencia respalda la importancia de un enfoque sistémico en la gestión de la tecnología educativa.</w:t>
      </w:r>
    </w:p>
    <w:p>
      <w:pPr>
        <w:spacing w:line="480" w:lineRule="auto"/>
        <w:ind w:left="567"/>
        <w:jc w:val="both"/>
      </w:pPr>
      <w:r>
        <w:rPr>
          <w:rFonts w:ascii="Times New Roman" w:cs="Times New Roman" w:eastAsia="Times New Roman" w:hAnsi="Times New Roman"/>
          <w:sz w:val="24"/>
          <w:szCs w:val="24"/>
        </w:rPr>
        <w:t xml:space="preserve">En el ámbito costarricense, el informe del Estado de la Educación (2021) destaca que, si bien ha aumentado el acceso a dispositivos en las escuelas públicas, la utilización pedagógica de estos sigue siendo limitada y circunstancial. Los principales factores identificados coinciden con los hallazgos del diagnóstico institucional de la Escuela Líder General Thomas Guardia: insuficiente capacitación docente, ausencia de planes institucionales y condiciones de infraestructura precarias.</w:t>
      </w:r>
    </w:p>
    <w:p>
      <w:pPr>
        <w:spacing w:line="480" w:lineRule="auto"/>
        <w:ind w:left="567"/>
        <w:jc w:val="both"/>
      </w:pPr>
      <w:r>
        <w:rPr>
          <w:rFonts w:ascii="Times New Roman" w:cs="Times New Roman" w:eastAsia="Times New Roman" w:hAnsi="Times New Roman"/>
          <w:sz w:val="24"/>
          <w:szCs w:val="24"/>
        </w:rPr>
        <w:t xml:space="preserve">Estos antecedentes teóricos y empíricos confirman la pertinencia y necesidad de la presente investigación, y proporcionan un marco conceptual sólido para interpretar los datos recogidos en el trabajo de campo y fundamentar las recomendaciones de gestión educativa que se deriven del proceso investigativo.</w:t>
      </w:r>
    </w:p>
    <w:p>
      <w:pPr>
        <w:spacing w:line="480" w:lineRule="auto"/>
      </w:pPr>
    </w:p>
    <w:p>
      <w:pPr>
        <w:spacing w:after="120" w:before="120" w:line="480" w:lineRule="auto"/>
        <w:jc w:val="center"/>
      </w:pPr>
      <w:r>
        <w:rPr>
          <w:rFonts w:ascii="Times New Roman" w:cs="Times New Roman" w:eastAsia="Times New Roman" w:hAnsi="Times New Roman"/>
          <w:b/>
          <w:bCs/>
          <w:sz w:val="24"/>
          <w:szCs w:val="24"/>
        </w:rPr>
        <w:t xml:space="preserve">Método</w:t>
      </w:r>
    </w:p>
    <w:p>
      <w:pPr>
        <w:spacing w:line="480" w:lineRule="auto"/>
        <w:jc w:val="both"/>
      </w:pPr>
      <w:r>
        <w:rPr>
          <w:rFonts w:ascii="Times New Roman" w:cs="Times New Roman" w:eastAsia="Times New Roman" w:hAnsi="Times New Roman"/>
          <w:sz w:val="24"/>
          <w:szCs w:val="24"/>
        </w:rPr>
        <w:t xml:space="preserve">La presente sección describe el diseño metodológico adoptado para el desarrollo del estudio diagnóstico, incluyendo el tipo de investigación, los participantes, los instrumentos utilizados y el procedimiento de recolección y análisis de datos.</w:t>
      </w:r>
    </w:p>
    <w:p>
      <w:pPr>
        <w:spacing w:line="480" w:lineRule="auto"/>
      </w:pPr>
    </w:p>
    <w:p>
      <w:pPr>
        <w:spacing w:line="480" w:lineRule="auto"/>
        <w:jc w:val="left"/>
      </w:pPr>
      <w:r>
        <w:rPr>
          <w:rFonts w:ascii="Times New Roman" w:cs="Times New Roman" w:eastAsia="Times New Roman" w:hAnsi="Times New Roman"/>
          <w:b/>
          <w:bCs/>
          <w:sz w:val="24"/>
          <w:szCs w:val="24"/>
        </w:rPr>
        <w:t xml:space="preserve">Tipo y Enfoque de Investigación</w:t>
      </w:r>
    </w:p>
    <w:p>
      <w:pPr>
        <w:spacing w:line="480" w:lineRule="auto"/>
        <w:ind w:left="567"/>
        <w:jc w:val="both"/>
      </w:pPr>
      <w:r>
        <w:rPr>
          <w:rFonts w:ascii="Times New Roman" w:cs="Times New Roman" w:eastAsia="Times New Roman" w:hAnsi="Times New Roman"/>
          <w:sz w:val="24"/>
          <w:szCs w:val="24"/>
        </w:rPr>
        <w:t xml:space="preserve">La presente investigación se enmarca dentro del paradigma mixto, combinando elementos del enfoque cuantitativo y cualitativo para obtener una comprensión integral del fenómeno estudiado. Desde el enfoque cuantitativo, se recogen datos numéricos mediante cuestionario estructurado que permiten establecer frecuencias, proporciones y tendencias en el uso de la tecnología digital por parte del personal docente. Desde el enfoque cualitativo, se profundiza en las percepciones, experiencias y valoraciones de los participantes sobre la integración tecnológica en su práctica pedagógica.</w:t>
      </w:r>
    </w:p>
    <w:p>
      <w:pPr>
        <w:spacing w:line="480" w:lineRule="auto"/>
        <w:ind w:left="567"/>
        <w:jc w:val="both"/>
      </w:pPr>
      <w:r>
        <w:rPr>
          <w:rFonts w:ascii="Times New Roman" w:cs="Times New Roman" w:eastAsia="Times New Roman" w:hAnsi="Times New Roman"/>
          <w:sz w:val="24"/>
          <w:szCs w:val="24"/>
        </w:rPr>
        <w:t xml:space="preserve">En cuanto al tipo de investigación, se trata de un estudio descriptivo-diagnóstico, ya que su propósito principal es caracterizar la situación actual de la integración tecnológica en la Escuela Líder General Thomas Guardia, identificar las debilidades institucionales existentes y fundamentar propuestas de mejora desde la Administración Educativa. No se busca establecer relaciones causales experimentales, sino ofrecer un panorama comprensivo de la realidad institucional que sirva de base para la toma de decisiones informadas.</w:t>
      </w:r>
    </w:p>
    <w:p>
      <w:pPr>
        <w:spacing w:line="480" w:lineRule="auto"/>
        <w:ind w:left="567"/>
        <w:jc w:val="both"/>
      </w:pPr>
      <w:r>
        <w:rPr>
          <w:rFonts w:ascii="Times New Roman" w:cs="Times New Roman" w:eastAsia="Times New Roman" w:hAnsi="Times New Roman"/>
          <w:sz w:val="24"/>
          <w:szCs w:val="24"/>
        </w:rPr>
        <w:t xml:space="preserve">El diseño de la investigación es no experimental y de corte transversal, dado que los datos son recopilados en un momento específico del período lectivo 2026, sin intervención deliberada sobre las variables estudiadas. Este diseño es coherente con los objetivos diagnósticos del estudio y con las posibilidades metodológicas propias de una investigación aplicada en el ámbito de la Administración Educativa.</w:t>
      </w:r>
    </w:p>
    <w:p>
      <w:pPr>
        <w:spacing w:line="480" w:lineRule="auto"/>
      </w:pPr>
    </w:p>
    <w:p>
      <w:pPr>
        <w:spacing w:line="480" w:lineRule="auto"/>
        <w:jc w:val="left"/>
      </w:pPr>
      <w:r>
        <w:rPr>
          <w:rFonts w:ascii="Times New Roman" w:cs="Times New Roman" w:eastAsia="Times New Roman" w:hAnsi="Times New Roman"/>
          <w:b/>
          <w:bCs/>
          <w:sz w:val="24"/>
          <w:szCs w:val="24"/>
        </w:rPr>
        <w:t xml:space="preserve">Participantes</w:t>
      </w:r>
    </w:p>
    <w:p>
      <w:pPr>
        <w:spacing w:line="480" w:lineRule="auto"/>
        <w:ind w:left="567"/>
        <w:jc w:val="both"/>
      </w:pPr>
      <w:r>
        <w:rPr>
          <w:rFonts w:ascii="Times New Roman" w:cs="Times New Roman" w:eastAsia="Times New Roman" w:hAnsi="Times New Roman"/>
          <w:sz w:val="24"/>
          <w:szCs w:val="24"/>
        </w:rPr>
        <w:t xml:space="preserve">Los sujetos de investigación son los docentes en servicio de la Escuela Líder General Thomas Guardia durante el período lectivo 2026. La población total comprende al personal docente de materno a sexto grado de educación primaria, incluyendo tanto docentes de grado como especialistas de materias complementarias (educación física, artes plásticas, música, inglés y religión).</w:t>
      </w:r>
    </w:p>
    <w:p>
      <w:pPr>
        <w:spacing w:line="480" w:lineRule="auto"/>
        <w:ind w:left="567"/>
        <w:jc w:val="both"/>
      </w:pPr>
      <w:r>
        <w:rPr>
          <w:rFonts w:ascii="Times New Roman" w:cs="Times New Roman" w:eastAsia="Times New Roman" w:hAnsi="Times New Roman"/>
          <w:sz w:val="24"/>
          <w:szCs w:val="24"/>
        </w:rPr>
        <w:t xml:space="preserve">Dado el tamaño manejable de la institución, se trabaja con la totalidad de la población docente (censo), lo que garantiza una representatividad máxima de los datos obtenidos. Se excluyen del estudio el personal administrativo no docente, personal de apoyo y la dirección del centro, quienes podrían participar en etapas posteriores de validación de las propuestas de mejora.</w:t>
      </w:r>
    </w:p>
    <w:p>
      <w:pPr>
        <w:spacing w:line="480" w:lineRule="auto"/>
        <w:ind w:left="567"/>
        <w:jc w:val="both"/>
      </w:pPr>
      <w:r>
        <w:rPr>
          <w:rFonts w:ascii="Times New Roman" w:cs="Times New Roman" w:eastAsia="Times New Roman" w:hAnsi="Times New Roman"/>
          <w:sz w:val="24"/>
          <w:szCs w:val="24"/>
        </w:rPr>
        <w:t xml:space="preserve">Como criterios de inclusión se establecen: ser docente nombrado en propiedad o interino en la institución durante el período 2026, estar activo en el ejercicio de la docencia al momento de la aplicación del instrumento y manifestar voluntad de participación mediante la firma del consentimiento informado. El proceso garantiza el anonimato de los participantes y el uso exclusivo de los datos con fines académicos.</w:t>
      </w:r>
    </w:p>
    <w:p>
      <w:pPr>
        <w:spacing w:line="480" w:lineRule="auto"/>
      </w:pPr>
    </w:p>
    <w:p>
      <w:pPr>
        <w:spacing w:line="480" w:lineRule="auto"/>
        <w:jc w:val="left"/>
      </w:pPr>
      <w:r>
        <w:rPr>
          <w:rFonts w:ascii="Times New Roman" w:cs="Times New Roman" w:eastAsia="Times New Roman" w:hAnsi="Times New Roman"/>
          <w:b/>
          <w:bCs/>
          <w:sz w:val="24"/>
          <w:szCs w:val="24"/>
        </w:rPr>
        <w:t xml:space="preserve">Instrumentos y Materiales</w:t>
      </w:r>
    </w:p>
    <w:p>
      <w:pPr>
        <w:spacing w:line="480" w:lineRule="auto"/>
        <w:ind w:left="567"/>
        <w:jc w:val="both"/>
      </w:pPr>
      <w:r>
        <w:rPr>
          <w:rFonts w:ascii="Times New Roman" w:cs="Times New Roman" w:eastAsia="Times New Roman" w:hAnsi="Times New Roman"/>
          <w:sz w:val="24"/>
          <w:szCs w:val="24"/>
        </w:rPr>
        <w:t xml:space="preserve">El instrumento principal de recolección de datos es un cuestionario estructurado de doce ítems, diseñado y validado para la presente investigación, dirigido al personal docente de la institución. El cuestionario combina preguntas de selección única, selección múltiple y una pregunta abierta, lo que permite recoger tanto datos cuantitativos sobre la frecuencia y condiciones de uso tecnológico como percepciones cualitativas sobre las necesidades de capacitación y apoyo institucional.</w:t>
      </w:r>
    </w:p>
    <w:p>
      <w:pPr>
        <w:spacing w:line="480" w:lineRule="auto"/>
        <w:ind w:left="567"/>
        <w:jc w:val="both"/>
      </w:pPr>
      <w:r>
        <w:rPr>
          <w:rFonts w:ascii="Times New Roman" w:cs="Times New Roman" w:eastAsia="Times New Roman" w:hAnsi="Times New Roman"/>
          <w:sz w:val="24"/>
          <w:szCs w:val="24"/>
        </w:rPr>
        <w:t xml:space="preserve">El instrumento fue diseñado tomando como referencia las dimensiones del modelo TPACK (Mishra y Koehler, 2006) y los indicadores de integración tecnológica propuestos por el Plan de Estudios del MEP. Para garantizar su validez de contenido, fue sometido a revisión por parte de expertos en tecnología educativa y administración educativa antes de su aplicación definitiva.</w:t>
      </w:r>
    </w:p>
    <w:p>
      <w:pPr>
        <w:spacing w:line="480" w:lineRule="auto"/>
        <w:ind w:left="567"/>
        <w:jc w:val="both"/>
      </w:pPr>
      <w:r>
        <w:rPr>
          <w:rFonts w:ascii="Times New Roman" w:cs="Times New Roman" w:eastAsia="Times New Roman" w:hAnsi="Times New Roman"/>
          <w:sz w:val="24"/>
          <w:szCs w:val="24"/>
        </w:rPr>
        <w:t xml:space="preserve">Como materiales complementarios, se utilizan documentos institucionales tales como el Plan Anual de Trabajo de la escuela, el diagnóstico institucional previo disponible, el inventario de recursos tecnológicos y los registros de participación docente en procesos de capacitación. Estos documentos permiten contrastar y enriquecer la información recogida mediante el cuestionario, fortaleciendo la triangulación de fuentes característica del enfoque mixto.</w:t>
      </w:r>
    </w:p>
    <w:p>
      <w:pPr>
        <w:spacing w:line="480" w:lineRule="auto"/>
      </w:pPr>
    </w:p>
    <w:p>
      <w:pPr>
        <w:spacing w:line="480" w:lineRule="auto"/>
        <w:jc w:val="left"/>
      </w:pPr>
      <w:r>
        <w:rPr>
          <w:rFonts w:ascii="Times New Roman" w:cs="Times New Roman" w:eastAsia="Times New Roman" w:hAnsi="Times New Roman"/>
          <w:b/>
          <w:bCs/>
          <w:sz w:val="24"/>
          <w:szCs w:val="24"/>
        </w:rPr>
        <w:t xml:space="preserve">Procedimiento</w:t>
      </w:r>
    </w:p>
    <w:p>
      <w:pPr>
        <w:spacing w:line="480" w:lineRule="auto"/>
        <w:ind w:left="567"/>
        <w:jc w:val="both"/>
      </w:pPr>
      <w:r>
        <w:rPr>
          <w:rFonts w:ascii="Times New Roman" w:cs="Times New Roman" w:eastAsia="Times New Roman" w:hAnsi="Times New Roman"/>
          <w:sz w:val="24"/>
          <w:szCs w:val="24"/>
        </w:rPr>
        <w:t xml:space="preserve">El proceso de investigación se desarrolla en cinco etapas secuenciales e interdependientes. En la primera etapa, correspondiente a la planificación y preparación, se revisa la bibliografía especializada, se diseña el instrumento diagnóstico, se solicita el permiso de la dirección institucional para la aplicación del estudio y se elabora el cronograma de trabajo de campo.</w:t>
      </w:r>
    </w:p>
    <w:p>
      <w:pPr>
        <w:spacing w:line="480" w:lineRule="auto"/>
        <w:ind w:left="567"/>
        <w:jc w:val="both"/>
      </w:pPr>
      <w:r>
        <w:rPr>
          <w:rFonts w:ascii="Times New Roman" w:cs="Times New Roman" w:eastAsia="Times New Roman" w:hAnsi="Times New Roman"/>
          <w:sz w:val="24"/>
          <w:szCs w:val="24"/>
        </w:rPr>
        <w:t xml:space="preserve">En la segunda etapa, denominada aplicación del instrumento, se convoca al personal docente mediante comunicado formal de la dirección, se aplica el cuestionario de manera autoadministrada en un espacio institucional habilitado para tal efecto, y se garantiza la confidencialidad y el anonimato de las respuestas. La aplicación se realiza en una sola sesión colectiva para asegurar condiciones homogéneas de participación.</w:t>
      </w:r>
    </w:p>
    <w:p>
      <w:pPr>
        <w:spacing w:line="480" w:lineRule="auto"/>
        <w:ind w:left="567"/>
        <w:jc w:val="both"/>
      </w:pPr>
      <w:r>
        <w:rPr>
          <w:rFonts w:ascii="Times New Roman" w:cs="Times New Roman" w:eastAsia="Times New Roman" w:hAnsi="Times New Roman"/>
          <w:sz w:val="24"/>
          <w:szCs w:val="24"/>
        </w:rPr>
        <w:t xml:space="preserve">La tercera etapa consiste en el procesamiento y análisis de datos. Los datos cuantitativos se tabulan y grafican utilizando herramientas de hoja de cálculo, lo que permite calcular frecuencias absolutas y relativas para cada ítem. Los datos cualitativos provenientes de la pregunta abierta son analizados mediante categorización temática de las respuestas, identificando patrones y recurrencias en las percepciones docentes.</w:t>
      </w:r>
    </w:p>
    <w:p>
      <w:pPr>
        <w:spacing w:line="480" w:lineRule="auto"/>
        <w:ind w:left="567"/>
        <w:jc w:val="both"/>
      </w:pPr>
      <w:r>
        <w:rPr>
          <w:rFonts w:ascii="Times New Roman" w:cs="Times New Roman" w:eastAsia="Times New Roman" w:hAnsi="Times New Roman"/>
          <w:sz w:val="24"/>
          <w:szCs w:val="24"/>
        </w:rPr>
        <w:t xml:space="preserve">En la cuarta etapa se realiza la interpretación de resultados y la formulación del diagnóstico institucional, integrando los hallazgos cuantitativos y cualitativos con el marco teórico referencial y los antecedentes documentales. A partir de este diagnóstico se identifican las principales debilidades y fortalezas institucionales en materia de integración tecnológica.</w:t>
      </w:r>
    </w:p>
    <w:p>
      <w:pPr>
        <w:spacing w:line="480" w:lineRule="auto"/>
        <w:ind w:left="567"/>
        <w:jc w:val="both"/>
      </w:pPr>
      <w:r>
        <w:rPr>
          <w:rFonts w:ascii="Times New Roman" w:cs="Times New Roman" w:eastAsia="Times New Roman" w:hAnsi="Times New Roman"/>
          <w:sz w:val="24"/>
          <w:szCs w:val="24"/>
        </w:rPr>
        <w:t xml:space="preserve">Finalmente, en la quinta etapa se elaboran las conclusiones y recomendaciones del estudio, orientadas a proveer a la dirección y al personal docente de la Escuela Líder General Thomas Guardia de insumos concretos y viables para fortalecer la integración de la tecnología digital en los procesos pedagógicos de la institución durante el año lectivo 2026 y los subsiguientes.</w:t>
      </w:r>
    </w:p>
    <w:p>
      <w:pPr>
        <w:spacing w:line="480" w:lineRule="auto"/>
      </w:pPr>
    </w:p>
    <w:p>
      <w:pPr>
        <w:spacing w:after="120" w:before="120" w:line="480" w:lineRule="auto"/>
        <w:jc w:val="center"/>
      </w:pPr>
      <w:r>
        <w:rPr>
          <w:rFonts w:ascii="Times New Roman" w:cs="Times New Roman" w:eastAsia="Times New Roman" w:hAnsi="Times New Roman"/>
          <w:b/>
          <w:bCs/>
          <w:sz w:val="24"/>
          <w:szCs w:val="24"/>
        </w:rPr>
        <w:t xml:space="preserve">Resultados</w:t>
      </w:r>
    </w:p>
    <w:p>
      <w:pPr>
        <w:spacing w:line="480" w:lineRule="auto"/>
        <w:jc w:val="both"/>
      </w:pPr>
      <w:r>
        <w:rPr>
          <w:rFonts w:ascii="Times New Roman" w:cs="Times New Roman" w:eastAsia="Times New Roman" w:hAnsi="Times New Roman"/>
          <w:sz w:val="24"/>
          <w:szCs w:val="24"/>
        </w:rPr>
        <w:t xml:space="preserve">A continuación se presenta el análisis de los datos recopilados mediante el cuestionario aplicado al personal docente de la Escuela Líder General Thomas Guardia durante el mes de abril de 2026. Participaron un total de 14 docentes, lo que representa el 100% de la población en servicio durante el período lectivo vigente. Los resultados se organizan en función de las dimensiones evaluadas: uso de la tecnología, infraestructura, capacitación docente y políticas institucionales.</w:t>
      </w:r>
    </w:p>
    <w:p>
      <w:pPr>
        <w:spacing w:line="480" w:lineRule="auto"/>
      </w:pPr>
    </w:p>
    <w:p>
      <w:pPr>
        <w:spacing w:line="480" w:lineRule="auto"/>
        <w:jc w:val="left"/>
      </w:pPr>
      <w:r>
        <w:rPr>
          <w:rFonts w:ascii="Times New Roman" w:cs="Times New Roman" w:eastAsia="Times New Roman" w:hAnsi="Times New Roman"/>
          <w:b/>
          <w:bCs/>
          <w:sz w:val="24"/>
          <w:szCs w:val="24"/>
        </w:rPr>
        <w:t xml:space="preserve">Frecuencia de Uso de la Tecnología Digital en el Aula</w:t>
      </w:r>
    </w:p>
    <w:p>
      <w:pPr>
        <w:spacing w:line="480" w:lineRule="auto"/>
        <w:jc w:val="both"/>
      </w:pPr>
      <w:r>
        <w:rPr>
          <w:rFonts w:ascii="Times New Roman" w:cs="Times New Roman" w:eastAsia="Times New Roman" w:hAnsi="Times New Roman"/>
          <w:sz w:val="24"/>
          <w:szCs w:val="24"/>
        </w:rPr>
        <w:t xml:space="preserve">El primer bloque de ítems indagó sobre la frecuencia con que los docentes incorporan herramientas tecnológicas en sus lecciones. Los resultados muestran que la mayoría del personal docente hace un uso esporádico de la tecnología, sin un patrón sistemático de integración pedagógica.</w:t>
      </w:r>
    </w:p>
    <w:p>
      <w:pPr>
        <w:spacing w:line="480" w:lineRule="auto"/>
      </w:pPr>
    </w:p>
    <w:p>
      <w:pPr>
        <w:spacing w:line="480" w:lineRule="auto"/>
        <w:jc w:val="center"/>
      </w:pPr>
      <w:r>
        <w:rPr>
          <w:rFonts w:ascii="Times New Roman" w:cs="Times New Roman" w:eastAsia="Times New Roman" w:hAnsi="Times New Roman"/>
          <w:b/>
          <w:bCs/>
          <w:sz w:val="24"/>
          <w:szCs w:val="24"/>
        </w:rPr>
        <w:t xml:space="preserve">Tabla 1. Frecuencia de uso de la tecnología digital en el aula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00"/>
        <w:gridCol w:w="2430"/>
        <w:gridCol w:w="2430"/>
      </w:tblGrid>
      <w:tr>
        <w:tc>
          <w:tcPr>
            <w:tcW w:type="dxa" w:w="4500"/>
            <w:tcBorders>
              <w:top w:val="single" w:color="000000" w:sz="4"/>
              <w:left w:val="single" w:color="000000" w:sz="4"/>
              <w:bottom w:val="single" w:color="000000" w:sz="4"/>
              <w:right w:val="single" w:color="000000" w:sz="4"/>
            </w:tcBorders>
            <w:shd w:fill="D9D9D9" w:val="clear"/>
            <w:tcMar>
              <w:top w:type="dxa" w:w="80"/>
              <w:left w:type="dxa" w:w="120"/>
              <w:bottom w:type="dxa" w:w="80"/>
              <w:right w:type="dxa" w:w="120"/>
            </w:tcMar>
          </w:tcPr>
          <w:p>
            <w:pPr>
              <w:jc w:val="center"/>
            </w:pPr>
            <w:r>
              <w:rPr>
                <w:rFonts w:ascii="Times New Roman" w:cs="Times New Roman" w:eastAsia="Times New Roman" w:hAnsi="Times New Roman"/>
                <w:b/>
                <w:bCs/>
                <w:sz w:val="24"/>
                <w:szCs w:val="24"/>
              </w:rPr>
              <w:t xml:space="preserve">Frecuencia de uso</w:t>
            </w:r>
          </w:p>
        </w:tc>
        <w:tc>
          <w:tcPr>
            <w:tcW w:type="dxa" w:w="2430"/>
            <w:tcBorders>
              <w:top w:val="single" w:color="000000" w:sz="4"/>
              <w:left w:val="single" w:color="000000" w:sz="4"/>
              <w:bottom w:val="single" w:color="000000" w:sz="4"/>
              <w:right w:val="single" w:color="000000" w:sz="4"/>
            </w:tcBorders>
            <w:shd w:fill="D9D9D9" w:val="clear"/>
            <w:tcMar>
              <w:top w:type="dxa" w:w="80"/>
              <w:left w:type="dxa" w:w="120"/>
              <w:bottom w:type="dxa" w:w="80"/>
              <w:right w:type="dxa" w:w="120"/>
            </w:tcMar>
          </w:tcPr>
          <w:p>
            <w:pPr>
              <w:jc w:val="center"/>
            </w:pPr>
            <w:r>
              <w:rPr>
                <w:rFonts w:ascii="Times New Roman" w:cs="Times New Roman" w:eastAsia="Times New Roman" w:hAnsi="Times New Roman"/>
                <w:b/>
                <w:bCs/>
                <w:sz w:val="24"/>
                <w:szCs w:val="24"/>
              </w:rPr>
              <w:t xml:space="preserve">N.° de docentes</w:t>
            </w:r>
          </w:p>
        </w:tc>
        <w:tc>
          <w:tcPr>
            <w:tcW w:type="dxa" w:w="2430"/>
            <w:tcBorders>
              <w:top w:val="single" w:color="000000" w:sz="4"/>
              <w:left w:val="single" w:color="000000" w:sz="4"/>
              <w:bottom w:val="single" w:color="000000" w:sz="4"/>
              <w:right w:val="single" w:color="000000" w:sz="4"/>
            </w:tcBorders>
            <w:shd w:fill="D9D9D9" w:val="clear"/>
            <w:tcMar>
              <w:top w:type="dxa" w:w="80"/>
              <w:left w:type="dxa" w:w="120"/>
              <w:bottom w:type="dxa" w:w="80"/>
              <w:right w:type="dxa" w:w="120"/>
            </w:tcMar>
          </w:tcPr>
          <w:p>
            <w:pPr>
              <w:jc w:val="center"/>
            </w:pPr>
            <w:r>
              <w:rPr>
                <w:rFonts w:ascii="Times New Roman" w:cs="Times New Roman" w:eastAsia="Times New Roman" w:hAnsi="Times New Roman"/>
                <w:b/>
                <w:bCs/>
                <w:sz w:val="24"/>
                <w:szCs w:val="24"/>
              </w:rPr>
              <w:t xml:space="preserve">Porcentaje (%)</w:t>
            </w:r>
          </w:p>
        </w:tc>
      </w:tr>
      <w:tr>
        <w:tc>
          <w:tcPr>
            <w:tcW w:type="dxa" w:w="45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Diariamente</w:t>
            </w:r>
          </w:p>
        </w:tc>
        <w:tc>
          <w:tcPr>
            <w:tcW w:type="dxa" w:w="243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2</w:t>
            </w:r>
          </w:p>
        </w:tc>
        <w:tc>
          <w:tcPr>
            <w:tcW w:type="dxa" w:w="243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14.3%</w:t>
            </w:r>
          </w:p>
        </w:tc>
      </w:tr>
      <w:tr>
        <w:tc>
          <w:tcPr>
            <w:tcW w:type="dxa" w:w="45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Varias veces por semana</w:t>
            </w:r>
          </w:p>
        </w:tc>
        <w:tc>
          <w:tcPr>
            <w:tcW w:type="dxa" w:w="243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3</w:t>
            </w:r>
          </w:p>
        </w:tc>
        <w:tc>
          <w:tcPr>
            <w:tcW w:type="dxa" w:w="243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21.4%</w:t>
            </w:r>
          </w:p>
        </w:tc>
      </w:tr>
      <w:tr>
        <w:tc>
          <w:tcPr>
            <w:tcW w:type="dxa" w:w="45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Una vez por semana</w:t>
            </w:r>
          </w:p>
        </w:tc>
        <w:tc>
          <w:tcPr>
            <w:tcW w:type="dxa" w:w="243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4</w:t>
            </w:r>
          </w:p>
        </w:tc>
        <w:tc>
          <w:tcPr>
            <w:tcW w:type="dxa" w:w="243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28.6%</w:t>
            </w:r>
          </w:p>
        </w:tc>
      </w:tr>
      <w:tr>
        <w:tc>
          <w:tcPr>
            <w:tcW w:type="dxa" w:w="45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Ocasionalmente (mensual)</w:t>
            </w:r>
          </w:p>
        </w:tc>
        <w:tc>
          <w:tcPr>
            <w:tcW w:type="dxa" w:w="243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4</w:t>
            </w:r>
          </w:p>
        </w:tc>
        <w:tc>
          <w:tcPr>
            <w:tcW w:type="dxa" w:w="243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28.6%</w:t>
            </w:r>
          </w:p>
        </w:tc>
      </w:tr>
      <w:tr>
        <w:tc>
          <w:tcPr>
            <w:tcW w:type="dxa" w:w="45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Nunca o casi nunca</w:t>
            </w:r>
          </w:p>
        </w:tc>
        <w:tc>
          <w:tcPr>
            <w:tcW w:type="dxa" w:w="243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1</w:t>
            </w:r>
          </w:p>
        </w:tc>
        <w:tc>
          <w:tcPr>
            <w:tcW w:type="dxa" w:w="243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7.1%</w:t>
            </w:r>
          </w:p>
        </w:tc>
      </w:tr>
      <w:tr>
        <w:tc>
          <w:tcPr>
            <w:tcW w:type="dxa" w:w="45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Total</w:t>
            </w:r>
          </w:p>
        </w:tc>
        <w:tc>
          <w:tcPr>
            <w:tcW w:type="dxa" w:w="243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14</w:t>
            </w:r>
          </w:p>
        </w:tc>
        <w:tc>
          <w:tcPr>
            <w:tcW w:type="dxa" w:w="243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100%</w:t>
            </w:r>
          </w:p>
        </w:tc>
      </w:tr>
    </w:tbl>
    <w:p>
      <w:pPr>
        <w:spacing w:line="240" w:lineRule="auto"/>
        <w:jc w:val="left"/>
      </w:pPr>
      <w:r>
        <w:rPr>
          <w:rFonts w:ascii="Times New Roman" w:cs="Times New Roman" w:eastAsia="Times New Roman" w:hAnsi="Times New Roman"/>
          <w:i/>
          <w:iCs/>
          <w:sz w:val="20"/>
          <w:szCs w:val="20"/>
        </w:rPr>
        <w:t xml:space="preserve">Nota. Elaboración propia a partir del cuestionario aplicado al personal docente (2026).</w:t>
      </w:r>
    </w:p>
    <w:p>
      <w:pPr>
        <w:spacing w:line="480" w:lineRule="auto"/>
      </w:pPr>
    </w:p>
    <w:p>
      <w:pPr>
        <w:spacing w:line="480" w:lineRule="auto"/>
        <w:jc w:val="both"/>
      </w:pPr>
      <w:r>
        <w:rPr>
          <w:rFonts w:ascii="Times New Roman" w:cs="Times New Roman" w:eastAsia="Times New Roman" w:hAnsi="Times New Roman"/>
          <w:sz w:val="24"/>
          <w:szCs w:val="24"/>
        </w:rPr>
        <w:t xml:space="preserve">Los datos revelan que únicamente el 35.7% del personal utiliza la tecnología con una frecuencia alta (diariamente o varias veces por semana), mientras que el 64.3% restante lo hace de forma esporádica u ocasional. Esto evidencia que la tecnología no forma parte sistemática de la planificación didáctica de la mayoría de los docentes.</w:t>
      </w:r>
    </w:p>
    <w:p>
      <w:pPr>
        <w:spacing w:line="480" w:lineRule="auto"/>
      </w:pPr>
    </w:p>
    <w:p>
      <w:pPr>
        <w:spacing w:line="480" w:lineRule="auto"/>
        <w:jc w:val="left"/>
      </w:pPr>
      <w:r>
        <w:rPr>
          <w:rFonts w:ascii="Times New Roman" w:cs="Times New Roman" w:eastAsia="Times New Roman" w:hAnsi="Times New Roman"/>
          <w:b/>
          <w:bCs/>
          <w:sz w:val="24"/>
          <w:szCs w:val="24"/>
        </w:rPr>
        <w:t xml:space="preserve">Recursos Tecnológicos Disponibles y su Estado de Funcionamiento</w:t>
      </w:r>
    </w:p>
    <w:p>
      <w:pPr>
        <w:spacing w:line="480" w:lineRule="auto"/>
        <w:jc w:val="both"/>
      </w:pPr>
      <w:r>
        <w:rPr>
          <w:rFonts w:ascii="Times New Roman" w:cs="Times New Roman" w:eastAsia="Times New Roman" w:hAnsi="Times New Roman"/>
          <w:sz w:val="24"/>
          <w:szCs w:val="24"/>
        </w:rPr>
        <w:t xml:space="preserve">El segundo bloque exploró la percepción docente sobre la disponibilidad y el estado de los recursos tecnológicos de la institución. Se pidió a los docentes que valoraran el estado del equipamiento disponible en una escala de tres niveles: bueno, regular o deficiente.</w:t>
      </w:r>
    </w:p>
    <w:p>
      <w:pPr>
        <w:spacing w:line="480" w:lineRule="auto"/>
      </w:pPr>
    </w:p>
    <w:p>
      <w:pPr>
        <w:spacing w:line="480" w:lineRule="auto"/>
        <w:jc w:val="center"/>
      </w:pPr>
      <w:r>
        <w:rPr>
          <w:rFonts w:ascii="Times New Roman" w:cs="Times New Roman" w:eastAsia="Times New Roman" w:hAnsi="Times New Roman"/>
          <w:b/>
          <w:bCs/>
          <w:sz w:val="24"/>
          <w:szCs w:val="24"/>
        </w:rPr>
        <w:t xml:space="preserve">Tabla 2. Estado de los recursos tecnológicos según percepción docente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1920"/>
        <w:gridCol w:w="1920"/>
        <w:gridCol w:w="1920"/>
      </w:tblGrid>
      <w:tr>
        <w:tc>
          <w:tcPr>
            <w:tcW w:type="dxa" w:w="3600"/>
            <w:tcBorders>
              <w:top w:val="single" w:color="000000" w:sz="4"/>
              <w:left w:val="single" w:color="000000" w:sz="4"/>
              <w:bottom w:val="single" w:color="000000" w:sz="4"/>
              <w:right w:val="single" w:color="000000" w:sz="4"/>
            </w:tcBorders>
            <w:shd w:fill="D9D9D9" w:val="clear"/>
            <w:tcMar>
              <w:top w:type="dxa" w:w="80"/>
              <w:left w:type="dxa" w:w="120"/>
              <w:bottom w:type="dxa" w:w="80"/>
              <w:right w:type="dxa" w:w="120"/>
            </w:tcMar>
          </w:tcPr>
          <w:p>
            <w:pPr>
              <w:jc w:val="center"/>
            </w:pPr>
            <w:r>
              <w:rPr>
                <w:rFonts w:ascii="Times New Roman" w:cs="Times New Roman" w:eastAsia="Times New Roman" w:hAnsi="Times New Roman"/>
                <w:b/>
                <w:bCs/>
                <w:sz w:val="24"/>
                <w:szCs w:val="24"/>
              </w:rPr>
              <w:t xml:space="preserve">Recurso tecnológico</w:t>
            </w:r>
          </w:p>
        </w:tc>
        <w:tc>
          <w:tcPr>
            <w:tcW w:type="dxa" w:w="1920"/>
            <w:tcBorders>
              <w:top w:val="single" w:color="000000" w:sz="4"/>
              <w:left w:val="single" w:color="000000" w:sz="4"/>
              <w:bottom w:val="single" w:color="000000" w:sz="4"/>
              <w:right w:val="single" w:color="000000" w:sz="4"/>
            </w:tcBorders>
            <w:shd w:fill="D9D9D9" w:val="clear"/>
            <w:tcMar>
              <w:top w:type="dxa" w:w="80"/>
              <w:left w:type="dxa" w:w="120"/>
              <w:bottom w:type="dxa" w:w="80"/>
              <w:right w:type="dxa" w:w="120"/>
            </w:tcMar>
          </w:tcPr>
          <w:p>
            <w:pPr>
              <w:jc w:val="center"/>
            </w:pPr>
            <w:r>
              <w:rPr>
                <w:rFonts w:ascii="Times New Roman" w:cs="Times New Roman" w:eastAsia="Times New Roman" w:hAnsi="Times New Roman"/>
                <w:b/>
                <w:bCs/>
                <w:sz w:val="24"/>
                <w:szCs w:val="24"/>
              </w:rPr>
              <w:t xml:space="preserve">Bueno</w:t>
            </w:r>
          </w:p>
        </w:tc>
        <w:tc>
          <w:tcPr>
            <w:tcW w:type="dxa" w:w="1920"/>
            <w:tcBorders>
              <w:top w:val="single" w:color="000000" w:sz="4"/>
              <w:left w:val="single" w:color="000000" w:sz="4"/>
              <w:bottom w:val="single" w:color="000000" w:sz="4"/>
              <w:right w:val="single" w:color="000000" w:sz="4"/>
            </w:tcBorders>
            <w:shd w:fill="D9D9D9" w:val="clear"/>
            <w:tcMar>
              <w:top w:type="dxa" w:w="80"/>
              <w:left w:type="dxa" w:w="120"/>
              <w:bottom w:type="dxa" w:w="80"/>
              <w:right w:type="dxa" w:w="120"/>
            </w:tcMar>
          </w:tcPr>
          <w:p>
            <w:pPr>
              <w:jc w:val="center"/>
            </w:pPr>
            <w:r>
              <w:rPr>
                <w:rFonts w:ascii="Times New Roman" w:cs="Times New Roman" w:eastAsia="Times New Roman" w:hAnsi="Times New Roman"/>
                <w:b/>
                <w:bCs/>
                <w:sz w:val="24"/>
                <w:szCs w:val="24"/>
              </w:rPr>
              <w:t xml:space="preserve">Regular</w:t>
            </w:r>
          </w:p>
        </w:tc>
        <w:tc>
          <w:tcPr>
            <w:tcW w:type="dxa" w:w="1920"/>
            <w:tcBorders>
              <w:top w:val="single" w:color="000000" w:sz="4"/>
              <w:left w:val="single" w:color="000000" w:sz="4"/>
              <w:bottom w:val="single" w:color="000000" w:sz="4"/>
              <w:right w:val="single" w:color="000000" w:sz="4"/>
            </w:tcBorders>
            <w:shd w:fill="D9D9D9" w:val="clear"/>
            <w:tcMar>
              <w:top w:type="dxa" w:w="80"/>
              <w:left w:type="dxa" w:w="120"/>
              <w:bottom w:type="dxa" w:w="80"/>
              <w:right w:type="dxa" w:w="120"/>
            </w:tcMar>
          </w:tcPr>
          <w:p>
            <w:pPr>
              <w:jc w:val="center"/>
            </w:pPr>
            <w:r>
              <w:rPr>
                <w:rFonts w:ascii="Times New Roman" w:cs="Times New Roman" w:eastAsia="Times New Roman" w:hAnsi="Times New Roman"/>
                <w:b/>
                <w:bCs/>
                <w:sz w:val="24"/>
                <w:szCs w:val="24"/>
              </w:rPr>
              <w:t xml:space="preserve">Deficiente</w:t>
            </w:r>
          </w:p>
        </w:tc>
      </w:tr>
      <w:tr>
        <w:tc>
          <w:tcPr>
            <w:tcW w:type="dxa" w:w="36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Computadoras de escritorio (aula TIC)</w:t>
            </w:r>
          </w:p>
        </w:tc>
        <w:tc>
          <w:tcPr>
            <w:tcW w:type="dxa" w:w="19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7.1%</w:t>
            </w:r>
          </w:p>
        </w:tc>
        <w:tc>
          <w:tcPr>
            <w:tcW w:type="dxa" w:w="19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42.9%</w:t>
            </w:r>
          </w:p>
        </w:tc>
        <w:tc>
          <w:tcPr>
            <w:tcW w:type="dxa" w:w="19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50.0%</w:t>
            </w:r>
          </w:p>
        </w:tc>
      </w:tr>
      <w:tr>
        <w:tc>
          <w:tcPr>
            <w:tcW w:type="dxa" w:w="36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Tabletas</w:t>
            </w:r>
          </w:p>
        </w:tc>
        <w:tc>
          <w:tcPr>
            <w:tcW w:type="dxa" w:w="19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14.3%</w:t>
            </w:r>
          </w:p>
        </w:tc>
        <w:tc>
          <w:tcPr>
            <w:tcW w:type="dxa" w:w="19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50.0%</w:t>
            </w:r>
          </w:p>
        </w:tc>
        <w:tc>
          <w:tcPr>
            <w:tcW w:type="dxa" w:w="19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35.7%</w:t>
            </w:r>
          </w:p>
        </w:tc>
      </w:tr>
      <w:tr>
        <w:tc>
          <w:tcPr>
            <w:tcW w:type="dxa" w:w="36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Proyectores</w:t>
            </w:r>
          </w:p>
        </w:tc>
        <w:tc>
          <w:tcPr>
            <w:tcW w:type="dxa" w:w="19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21.4%</w:t>
            </w:r>
          </w:p>
        </w:tc>
        <w:tc>
          <w:tcPr>
            <w:tcW w:type="dxa" w:w="19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57.1%</w:t>
            </w:r>
          </w:p>
        </w:tc>
        <w:tc>
          <w:tcPr>
            <w:tcW w:type="dxa" w:w="19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21.4%</w:t>
            </w:r>
          </w:p>
        </w:tc>
      </w:tr>
      <w:tr>
        <w:tc>
          <w:tcPr>
            <w:tcW w:type="dxa" w:w="36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Conectividad a internet</w:t>
            </w:r>
          </w:p>
        </w:tc>
        <w:tc>
          <w:tcPr>
            <w:tcW w:type="dxa" w:w="19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7.1%</w:t>
            </w:r>
          </w:p>
        </w:tc>
        <w:tc>
          <w:tcPr>
            <w:tcW w:type="dxa" w:w="19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28.6%</w:t>
            </w:r>
          </w:p>
        </w:tc>
        <w:tc>
          <w:tcPr>
            <w:tcW w:type="dxa" w:w="19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64.3%</w:t>
            </w:r>
          </w:p>
        </w:tc>
      </w:tr>
      <w:tr>
        <w:tc>
          <w:tcPr>
            <w:tcW w:type="dxa" w:w="36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Plataformas digitales institucionales</w:t>
            </w:r>
          </w:p>
        </w:tc>
        <w:tc>
          <w:tcPr>
            <w:tcW w:type="dxa" w:w="19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14.3%</w:t>
            </w:r>
          </w:p>
        </w:tc>
        <w:tc>
          <w:tcPr>
            <w:tcW w:type="dxa" w:w="19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35.7%</w:t>
            </w:r>
          </w:p>
        </w:tc>
        <w:tc>
          <w:tcPr>
            <w:tcW w:type="dxa" w:w="19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50.0%</w:t>
            </w:r>
          </w:p>
        </w:tc>
      </w:tr>
    </w:tbl>
    <w:p>
      <w:pPr>
        <w:spacing w:line="240" w:lineRule="auto"/>
        <w:jc w:val="left"/>
      </w:pPr>
      <w:r>
        <w:rPr>
          <w:rFonts w:ascii="Times New Roman" w:cs="Times New Roman" w:eastAsia="Times New Roman" w:hAnsi="Times New Roman"/>
          <w:i/>
          <w:iCs/>
          <w:sz w:val="20"/>
          <w:szCs w:val="20"/>
        </w:rPr>
        <w:t xml:space="preserve">Nota. Elaboración propia a partir del cuestionario aplicado al personal docente (2026).</w:t>
      </w:r>
    </w:p>
    <w:p>
      <w:pPr>
        <w:spacing w:line="480" w:lineRule="auto"/>
      </w:pPr>
    </w:p>
    <w:p>
      <w:pPr>
        <w:spacing w:line="480" w:lineRule="auto"/>
        <w:jc w:val="both"/>
      </w:pPr>
      <w:r>
        <w:rPr>
          <w:rFonts w:ascii="Times New Roman" w:cs="Times New Roman" w:eastAsia="Times New Roman" w:hAnsi="Times New Roman"/>
          <w:sz w:val="24"/>
          <w:szCs w:val="24"/>
        </w:rPr>
        <w:t xml:space="preserve">Los resultados son contundentes: la conectividad a internet es percibida como deficiente por el 64.3% del personal docente, lo que constituye la limitación de infraestructura más crítica. Le siguen las computadoras de escritorio y las plataformas digitales institucionales, valoradas como deficientes por el 50% de los docentes. Esta situación confirma que la institución enfrenta una brecha significativa entre la demanda tecnológica de sus procesos pedagógicos y la capacidad real de su infraestructura.</w:t>
      </w:r>
    </w:p>
    <w:p>
      <w:pPr>
        <w:spacing w:line="480" w:lineRule="auto"/>
      </w:pPr>
    </w:p>
    <w:p>
      <w:pPr>
        <w:spacing w:line="480" w:lineRule="auto"/>
        <w:jc w:val="left"/>
      </w:pPr>
      <w:r>
        <w:rPr>
          <w:rFonts w:ascii="Times New Roman" w:cs="Times New Roman" w:eastAsia="Times New Roman" w:hAnsi="Times New Roman"/>
          <w:b/>
          <w:bCs/>
          <w:sz w:val="24"/>
          <w:szCs w:val="24"/>
        </w:rPr>
        <w:t xml:space="preserve">Nivel de Capacitación Docente en Tecnología Educativa</w:t>
      </w:r>
    </w:p>
    <w:p>
      <w:pPr>
        <w:spacing w:line="480" w:lineRule="auto"/>
        <w:jc w:val="both"/>
      </w:pPr>
      <w:r>
        <w:rPr>
          <w:rFonts w:ascii="Times New Roman" w:cs="Times New Roman" w:eastAsia="Times New Roman" w:hAnsi="Times New Roman"/>
          <w:sz w:val="24"/>
          <w:szCs w:val="24"/>
        </w:rPr>
        <w:t xml:space="preserve">Un aspecto central de la investigación fue determinar el nivel de formación del personal docente en el uso pedagógico de la tecnología. Los resultados de esta dimensión son especialmente reveladores para orientar las recomendaciones de gestión.</w:t>
      </w:r>
    </w:p>
    <w:p>
      <w:pPr>
        <w:spacing w:line="480" w:lineRule="auto"/>
      </w:pPr>
    </w:p>
    <w:p>
      <w:pPr>
        <w:spacing w:line="480" w:lineRule="auto"/>
        <w:jc w:val="center"/>
      </w:pPr>
      <w:r>
        <w:rPr>
          <w:rFonts w:ascii="Times New Roman" w:cs="Times New Roman" w:eastAsia="Times New Roman" w:hAnsi="Times New Roman"/>
          <w:b/>
          <w:bCs/>
          <w:sz w:val="24"/>
          <w:szCs w:val="24"/>
        </w:rPr>
        <w:t xml:space="preserve">Tabla 3. Autovaloración del nivel de competencia digital docente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00"/>
        <w:gridCol w:w="2430"/>
        <w:gridCol w:w="2430"/>
      </w:tblGrid>
      <w:tr>
        <w:tc>
          <w:tcPr>
            <w:tcW w:type="dxa" w:w="4500"/>
            <w:tcBorders>
              <w:top w:val="single" w:color="000000" w:sz="4"/>
              <w:left w:val="single" w:color="000000" w:sz="4"/>
              <w:bottom w:val="single" w:color="000000" w:sz="4"/>
              <w:right w:val="single" w:color="000000" w:sz="4"/>
            </w:tcBorders>
            <w:shd w:fill="D9D9D9" w:val="clear"/>
            <w:tcMar>
              <w:top w:type="dxa" w:w="80"/>
              <w:left w:type="dxa" w:w="120"/>
              <w:bottom w:type="dxa" w:w="80"/>
              <w:right w:type="dxa" w:w="120"/>
            </w:tcMar>
          </w:tcPr>
          <w:p>
            <w:pPr>
              <w:jc w:val="center"/>
            </w:pPr>
            <w:r>
              <w:rPr>
                <w:rFonts w:ascii="Times New Roman" w:cs="Times New Roman" w:eastAsia="Times New Roman" w:hAnsi="Times New Roman"/>
                <w:b/>
                <w:bCs/>
                <w:sz w:val="24"/>
                <w:szCs w:val="24"/>
              </w:rPr>
              <w:t xml:space="preserve">Nivel de competencia digital</w:t>
            </w:r>
          </w:p>
        </w:tc>
        <w:tc>
          <w:tcPr>
            <w:tcW w:type="dxa" w:w="2430"/>
            <w:tcBorders>
              <w:top w:val="single" w:color="000000" w:sz="4"/>
              <w:left w:val="single" w:color="000000" w:sz="4"/>
              <w:bottom w:val="single" w:color="000000" w:sz="4"/>
              <w:right w:val="single" w:color="000000" w:sz="4"/>
            </w:tcBorders>
            <w:shd w:fill="D9D9D9" w:val="clear"/>
            <w:tcMar>
              <w:top w:type="dxa" w:w="80"/>
              <w:left w:type="dxa" w:w="120"/>
              <w:bottom w:type="dxa" w:w="80"/>
              <w:right w:type="dxa" w:w="120"/>
            </w:tcMar>
          </w:tcPr>
          <w:p>
            <w:pPr>
              <w:jc w:val="center"/>
            </w:pPr>
            <w:r>
              <w:rPr>
                <w:rFonts w:ascii="Times New Roman" w:cs="Times New Roman" w:eastAsia="Times New Roman" w:hAnsi="Times New Roman"/>
                <w:b/>
                <w:bCs/>
                <w:sz w:val="24"/>
                <w:szCs w:val="24"/>
              </w:rPr>
              <w:t xml:space="preserve">N.° de docentes</w:t>
            </w:r>
          </w:p>
        </w:tc>
        <w:tc>
          <w:tcPr>
            <w:tcW w:type="dxa" w:w="2430"/>
            <w:tcBorders>
              <w:top w:val="single" w:color="000000" w:sz="4"/>
              <w:left w:val="single" w:color="000000" w:sz="4"/>
              <w:bottom w:val="single" w:color="000000" w:sz="4"/>
              <w:right w:val="single" w:color="000000" w:sz="4"/>
            </w:tcBorders>
            <w:shd w:fill="D9D9D9" w:val="clear"/>
            <w:tcMar>
              <w:top w:type="dxa" w:w="80"/>
              <w:left w:type="dxa" w:w="120"/>
              <w:bottom w:type="dxa" w:w="80"/>
              <w:right w:type="dxa" w:w="120"/>
            </w:tcMar>
          </w:tcPr>
          <w:p>
            <w:pPr>
              <w:jc w:val="center"/>
            </w:pPr>
            <w:r>
              <w:rPr>
                <w:rFonts w:ascii="Times New Roman" w:cs="Times New Roman" w:eastAsia="Times New Roman" w:hAnsi="Times New Roman"/>
                <w:b/>
                <w:bCs/>
                <w:sz w:val="24"/>
                <w:szCs w:val="24"/>
              </w:rPr>
              <w:t xml:space="preserve">Porcentaje (%)</w:t>
            </w:r>
          </w:p>
        </w:tc>
      </w:tr>
      <w:tr>
        <w:tc>
          <w:tcPr>
            <w:tcW w:type="dxa" w:w="45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Avanzado (diseña recursos digitales propios)</w:t>
            </w:r>
          </w:p>
        </w:tc>
        <w:tc>
          <w:tcPr>
            <w:tcW w:type="dxa" w:w="243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1</w:t>
            </w:r>
          </w:p>
        </w:tc>
        <w:tc>
          <w:tcPr>
            <w:tcW w:type="dxa" w:w="243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7.1%</w:t>
            </w:r>
          </w:p>
        </w:tc>
      </w:tr>
      <w:tr>
        <w:tc>
          <w:tcPr>
            <w:tcW w:type="dxa" w:w="45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Intermedio (usa herramientas con fluidez)</w:t>
            </w:r>
          </w:p>
        </w:tc>
        <w:tc>
          <w:tcPr>
            <w:tcW w:type="dxa" w:w="243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4</w:t>
            </w:r>
          </w:p>
        </w:tc>
        <w:tc>
          <w:tcPr>
            <w:tcW w:type="dxa" w:w="243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28.6%</w:t>
            </w:r>
          </w:p>
        </w:tc>
      </w:tr>
      <w:tr>
        <w:tc>
          <w:tcPr>
            <w:tcW w:type="dxa" w:w="45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Básico (uso limitado a funciones elementales)</w:t>
            </w:r>
          </w:p>
        </w:tc>
        <w:tc>
          <w:tcPr>
            <w:tcW w:type="dxa" w:w="243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7</w:t>
            </w:r>
          </w:p>
        </w:tc>
        <w:tc>
          <w:tcPr>
            <w:tcW w:type="dxa" w:w="243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50.0%</w:t>
            </w:r>
          </w:p>
        </w:tc>
      </w:tr>
      <w:tr>
        <w:tc>
          <w:tcPr>
            <w:tcW w:type="dxa" w:w="45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Inicial (escaso conocimiento de herramientas)</w:t>
            </w:r>
          </w:p>
        </w:tc>
        <w:tc>
          <w:tcPr>
            <w:tcW w:type="dxa" w:w="243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2</w:t>
            </w:r>
          </w:p>
        </w:tc>
        <w:tc>
          <w:tcPr>
            <w:tcW w:type="dxa" w:w="243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14.3%</w:t>
            </w:r>
          </w:p>
        </w:tc>
      </w:tr>
      <w:tr>
        <w:tc>
          <w:tcPr>
            <w:tcW w:type="dxa" w:w="45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Total</w:t>
            </w:r>
          </w:p>
        </w:tc>
        <w:tc>
          <w:tcPr>
            <w:tcW w:type="dxa" w:w="243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14</w:t>
            </w:r>
          </w:p>
        </w:tc>
        <w:tc>
          <w:tcPr>
            <w:tcW w:type="dxa" w:w="243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100%</w:t>
            </w:r>
          </w:p>
        </w:tc>
      </w:tr>
    </w:tbl>
    <w:p>
      <w:pPr>
        <w:spacing w:line="240" w:lineRule="auto"/>
        <w:jc w:val="left"/>
      </w:pPr>
      <w:r>
        <w:rPr>
          <w:rFonts w:ascii="Times New Roman" w:cs="Times New Roman" w:eastAsia="Times New Roman" w:hAnsi="Times New Roman"/>
          <w:i/>
          <w:iCs/>
          <w:sz w:val="20"/>
          <w:szCs w:val="20"/>
        </w:rPr>
        <w:t xml:space="preserve">Nota. Elaboración propia a partir del cuestionario aplicado al personal docente (2026).</w:t>
      </w:r>
    </w:p>
    <w:p>
      <w:pPr>
        <w:spacing w:line="480" w:lineRule="auto"/>
      </w:pPr>
    </w:p>
    <w:p>
      <w:pPr>
        <w:spacing w:line="480" w:lineRule="auto"/>
        <w:jc w:val="both"/>
      </w:pPr>
      <w:r>
        <w:rPr>
          <w:rFonts w:ascii="Times New Roman" w:cs="Times New Roman" w:eastAsia="Times New Roman" w:hAnsi="Times New Roman"/>
          <w:sz w:val="24"/>
          <w:szCs w:val="24"/>
        </w:rPr>
        <w:t xml:space="preserve">El 64.3% del personal se ubica en los niveles básico e inicial de competencia digital, lo que significa que la mayoría de los docentes carece de las habilidades necesarias para integrar la tecnología de manera efectiva en sus prácticas pedagógicas. Solo el 7.1% alcanza un nivel avanzado. Adicionalmente, el 78.6% de los docentes señaló que no ha recibido capacitación específica en tecnología educativa durante los últimos dos años, lo que agrava significativamente la situación.</w:t>
      </w:r>
    </w:p>
    <w:p>
      <w:pPr>
        <w:spacing w:line="480" w:lineRule="auto"/>
      </w:pPr>
    </w:p>
    <w:p>
      <w:pPr>
        <w:spacing w:line="480" w:lineRule="auto"/>
        <w:jc w:val="left"/>
      </w:pPr>
      <w:r>
        <w:rPr>
          <w:rFonts w:ascii="Times New Roman" w:cs="Times New Roman" w:eastAsia="Times New Roman" w:hAnsi="Times New Roman"/>
          <w:b/>
          <w:bCs/>
          <w:sz w:val="24"/>
          <w:szCs w:val="24"/>
        </w:rPr>
        <w:t xml:space="preserve">Existencia y Conocimiento de Políticas Institucionales sobre Tecnología</w:t>
      </w:r>
    </w:p>
    <w:p>
      <w:pPr>
        <w:spacing w:line="480" w:lineRule="auto"/>
        <w:jc w:val="both"/>
      </w:pPr>
      <w:r>
        <w:rPr>
          <w:rFonts w:ascii="Times New Roman" w:cs="Times New Roman" w:eastAsia="Times New Roman" w:hAnsi="Times New Roman"/>
          <w:sz w:val="24"/>
          <w:szCs w:val="24"/>
        </w:rPr>
        <w:t xml:space="preserve">Este bloque indagó sobre el conocimiento del personal docente respecto a la existencia de políticas institucionales orientadas a normar y promover el uso de la tecnología en la enseñanza.</w:t>
      </w:r>
    </w:p>
    <w:p>
      <w:pPr>
        <w:spacing w:line="480" w:lineRule="auto"/>
      </w:pPr>
    </w:p>
    <w:p>
      <w:pPr>
        <w:spacing w:line="480" w:lineRule="auto"/>
        <w:jc w:val="center"/>
      </w:pPr>
      <w:r>
        <w:rPr>
          <w:rFonts w:ascii="Times New Roman" w:cs="Times New Roman" w:eastAsia="Times New Roman" w:hAnsi="Times New Roman"/>
          <w:b/>
          <w:bCs/>
          <w:sz w:val="24"/>
          <w:szCs w:val="24"/>
        </w:rPr>
        <w:t xml:space="preserve">Tabla 4. Conocimiento de políticas institucionales sobre tecnología educativa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1920"/>
        <w:gridCol w:w="1920"/>
        <w:gridCol w:w="1920"/>
      </w:tblGrid>
      <w:tr>
        <w:tc>
          <w:tcPr>
            <w:tcW w:type="dxa" w:w="3600"/>
            <w:tcBorders>
              <w:top w:val="single" w:color="000000" w:sz="4"/>
              <w:left w:val="single" w:color="000000" w:sz="4"/>
              <w:bottom w:val="single" w:color="000000" w:sz="4"/>
              <w:right w:val="single" w:color="000000" w:sz="4"/>
            </w:tcBorders>
            <w:shd w:fill="D9D9D9" w:val="clear"/>
            <w:tcMar>
              <w:top w:type="dxa" w:w="80"/>
              <w:left w:type="dxa" w:w="120"/>
              <w:bottom w:type="dxa" w:w="80"/>
              <w:right w:type="dxa" w:w="120"/>
            </w:tcMar>
          </w:tcPr>
          <w:p>
            <w:pPr>
              <w:jc w:val="center"/>
            </w:pPr>
            <w:r>
              <w:rPr>
                <w:rFonts w:ascii="Times New Roman" w:cs="Times New Roman" w:eastAsia="Times New Roman" w:hAnsi="Times New Roman"/>
                <w:b/>
                <w:bCs/>
                <w:sz w:val="24"/>
                <w:szCs w:val="24"/>
              </w:rPr>
              <w:t xml:space="preserve">Indicador</w:t>
            </w:r>
          </w:p>
        </w:tc>
        <w:tc>
          <w:tcPr>
            <w:tcW w:type="dxa" w:w="1920"/>
            <w:tcBorders>
              <w:top w:val="single" w:color="000000" w:sz="4"/>
              <w:left w:val="single" w:color="000000" w:sz="4"/>
              <w:bottom w:val="single" w:color="000000" w:sz="4"/>
              <w:right w:val="single" w:color="000000" w:sz="4"/>
            </w:tcBorders>
            <w:shd w:fill="D9D9D9" w:val="clear"/>
            <w:tcMar>
              <w:top w:type="dxa" w:w="80"/>
              <w:left w:type="dxa" w:w="120"/>
              <w:bottom w:type="dxa" w:w="80"/>
              <w:right w:type="dxa" w:w="120"/>
            </w:tcMar>
          </w:tcPr>
          <w:p>
            <w:pPr>
              <w:jc w:val="center"/>
            </w:pPr>
            <w:r>
              <w:rPr>
                <w:rFonts w:ascii="Times New Roman" w:cs="Times New Roman" w:eastAsia="Times New Roman" w:hAnsi="Times New Roman"/>
                <w:b/>
                <w:bCs/>
                <w:sz w:val="24"/>
                <w:szCs w:val="24"/>
              </w:rPr>
              <w:t xml:space="preserve">Sí</w:t>
            </w:r>
          </w:p>
        </w:tc>
        <w:tc>
          <w:tcPr>
            <w:tcW w:type="dxa" w:w="1920"/>
            <w:tcBorders>
              <w:top w:val="single" w:color="000000" w:sz="4"/>
              <w:left w:val="single" w:color="000000" w:sz="4"/>
              <w:bottom w:val="single" w:color="000000" w:sz="4"/>
              <w:right w:val="single" w:color="000000" w:sz="4"/>
            </w:tcBorders>
            <w:shd w:fill="D9D9D9" w:val="clear"/>
            <w:tcMar>
              <w:top w:type="dxa" w:w="80"/>
              <w:left w:type="dxa" w:w="120"/>
              <w:bottom w:type="dxa" w:w="80"/>
              <w:right w:type="dxa" w:w="120"/>
            </w:tcMar>
          </w:tcPr>
          <w:p>
            <w:pPr>
              <w:jc w:val="center"/>
            </w:pPr>
            <w:r>
              <w:rPr>
                <w:rFonts w:ascii="Times New Roman" w:cs="Times New Roman" w:eastAsia="Times New Roman" w:hAnsi="Times New Roman"/>
                <w:b/>
                <w:bCs/>
                <w:sz w:val="24"/>
                <w:szCs w:val="24"/>
              </w:rPr>
              <w:t xml:space="preserve">No</w:t>
            </w:r>
          </w:p>
        </w:tc>
        <w:tc>
          <w:tcPr>
            <w:tcW w:type="dxa" w:w="1920"/>
            <w:tcBorders>
              <w:top w:val="single" w:color="000000" w:sz="4"/>
              <w:left w:val="single" w:color="000000" w:sz="4"/>
              <w:bottom w:val="single" w:color="000000" w:sz="4"/>
              <w:right w:val="single" w:color="000000" w:sz="4"/>
            </w:tcBorders>
            <w:shd w:fill="D9D9D9" w:val="clear"/>
            <w:tcMar>
              <w:top w:type="dxa" w:w="80"/>
              <w:left w:type="dxa" w:w="120"/>
              <w:bottom w:type="dxa" w:w="80"/>
              <w:right w:type="dxa" w:w="120"/>
            </w:tcMar>
          </w:tcPr>
          <w:p>
            <w:pPr>
              <w:jc w:val="center"/>
            </w:pPr>
            <w:r>
              <w:rPr>
                <w:rFonts w:ascii="Times New Roman" w:cs="Times New Roman" w:eastAsia="Times New Roman" w:hAnsi="Times New Roman"/>
                <w:b/>
                <w:bCs/>
                <w:sz w:val="24"/>
                <w:szCs w:val="24"/>
              </w:rPr>
              <w:t xml:space="preserve">No sabe</w:t>
            </w:r>
          </w:p>
        </w:tc>
      </w:tr>
      <w:tr>
        <w:tc>
          <w:tcPr>
            <w:tcW w:type="dxa" w:w="36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La institución cuenta con un plan de uso tecnológico</w:t>
            </w:r>
          </w:p>
        </w:tc>
        <w:tc>
          <w:tcPr>
            <w:tcW w:type="dxa" w:w="19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7.1%</w:t>
            </w:r>
          </w:p>
        </w:tc>
        <w:tc>
          <w:tcPr>
            <w:tcW w:type="dxa" w:w="19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71.4%</w:t>
            </w:r>
          </w:p>
        </w:tc>
        <w:tc>
          <w:tcPr>
            <w:tcW w:type="dxa" w:w="19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21.4%</w:t>
            </w:r>
          </w:p>
        </w:tc>
      </w:tr>
      <w:tr>
        <w:tc>
          <w:tcPr>
            <w:tcW w:type="dxa" w:w="36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Existen lineamientos para el uso de las TIC en aula</w:t>
            </w:r>
          </w:p>
        </w:tc>
        <w:tc>
          <w:tcPr>
            <w:tcW w:type="dxa" w:w="19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14.3%</w:t>
            </w:r>
          </w:p>
        </w:tc>
        <w:tc>
          <w:tcPr>
            <w:tcW w:type="dxa" w:w="19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64.3%</w:t>
            </w:r>
          </w:p>
        </w:tc>
        <w:tc>
          <w:tcPr>
            <w:tcW w:type="dxa" w:w="19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21.4%</w:t>
            </w:r>
          </w:p>
        </w:tc>
      </w:tr>
      <w:tr>
        <w:tc>
          <w:tcPr>
            <w:tcW w:type="dxa" w:w="36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Se realizan reuniones sobre integración tecnológica</w:t>
            </w:r>
          </w:p>
        </w:tc>
        <w:tc>
          <w:tcPr>
            <w:tcW w:type="dxa" w:w="19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21.4%</w:t>
            </w:r>
          </w:p>
        </w:tc>
        <w:tc>
          <w:tcPr>
            <w:tcW w:type="dxa" w:w="19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78.6%</w:t>
            </w:r>
          </w:p>
        </w:tc>
        <w:tc>
          <w:tcPr>
            <w:tcW w:type="dxa" w:w="19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w:t>
            </w:r>
          </w:p>
        </w:tc>
      </w:tr>
      <w:tr>
        <w:tc>
          <w:tcPr>
            <w:tcW w:type="dxa" w:w="360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La dirección promueve activamente el uso de tecnología</w:t>
            </w:r>
          </w:p>
        </w:tc>
        <w:tc>
          <w:tcPr>
            <w:tcW w:type="dxa" w:w="19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35.7%</w:t>
            </w:r>
          </w:p>
        </w:tc>
        <w:tc>
          <w:tcPr>
            <w:tcW w:type="dxa" w:w="19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64.3%</w:t>
            </w:r>
          </w:p>
        </w:tc>
        <w:tc>
          <w:tcPr>
            <w:tcW w:type="dxa" w:w="1920"/>
            <w:tcBorders>
              <w:top w:val="single" w:color="000000" w:sz="4"/>
              <w:left w:val="single" w:color="000000" w:sz="4"/>
              <w:bottom w:val="single" w:color="000000" w:sz="4"/>
              <w:right w:val="single" w:color="000000" w:sz="4"/>
            </w:tcBorders>
            <w:tcMar>
              <w:top w:type="dxa" w:w="80"/>
              <w:left w:type="dxa" w:w="120"/>
              <w:bottom w:type="dxa" w:w="80"/>
              <w:right w:type="dxa" w:w="120"/>
            </w:tcMar>
          </w:tcPr>
          <w:p>
            <w:pPr>
              <w:jc w:val="center"/>
            </w:pPr>
            <w:r>
              <w:rPr>
                <w:rFonts w:ascii="Times New Roman" w:cs="Times New Roman" w:eastAsia="Times New Roman" w:hAnsi="Times New Roman"/>
                <w:sz w:val="24"/>
                <w:szCs w:val="24"/>
              </w:rPr>
              <w:t xml:space="preserve">—</w:t>
            </w:r>
          </w:p>
        </w:tc>
      </w:tr>
    </w:tbl>
    <w:p>
      <w:pPr>
        <w:spacing w:line="240" w:lineRule="auto"/>
        <w:jc w:val="left"/>
      </w:pPr>
      <w:r>
        <w:rPr>
          <w:rFonts w:ascii="Times New Roman" w:cs="Times New Roman" w:eastAsia="Times New Roman" w:hAnsi="Times New Roman"/>
          <w:i/>
          <w:iCs/>
          <w:sz w:val="20"/>
          <w:szCs w:val="20"/>
        </w:rPr>
        <w:t xml:space="preserve">Nota. Elaboración propia a partir del cuestionario aplicado al personal docente (2026).</w:t>
      </w:r>
    </w:p>
    <w:p>
      <w:pPr>
        <w:spacing w:line="480" w:lineRule="auto"/>
      </w:pPr>
    </w:p>
    <w:p>
      <w:pPr>
        <w:spacing w:line="480" w:lineRule="auto"/>
        <w:jc w:val="both"/>
      </w:pPr>
      <w:r>
        <w:rPr>
          <w:rFonts w:ascii="Times New Roman" w:cs="Times New Roman" w:eastAsia="Times New Roman" w:hAnsi="Times New Roman"/>
          <w:sz w:val="24"/>
          <w:szCs w:val="24"/>
        </w:rPr>
        <w:t xml:space="preserve">Los datos ponen de manifiesto una ausencia casi generalizada de políticas institucionales formales en materia de tecnología educativa. El 71.4% de los docentes afirma que la institución no cuenta con un plan de uso tecnológico, y el 78.6% indica que no se realizan reuniones periódicas sobre integración tecnológica. Estos hallazgos son consistentes con la falta de una cultura institucional orientada a la innovación pedagógica digital.</w:t>
      </w:r>
    </w:p>
    <w:p>
      <w:pPr>
        <w:spacing w:line="480" w:lineRule="auto"/>
      </w:pPr>
    </w:p>
    <w:p>
      <w:pPr>
        <w:spacing w:line="480" w:lineRule="auto"/>
        <w:jc w:val="left"/>
      </w:pPr>
      <w:r>
        <w:rPr>
          <w:rFonts w:ascii="Times New Roman" w:cs="Times New Roman" w:eastAsia="Times New Roman" w:hAnsi="Times New Roman"/>
          <w:b/>
          <w:bCs/>
          <w:sz w:val="24"/>
          <w:szCs w:val="24"/>
        </w:rPr>
        <w:t xml:space="preserve">Percepciones Cualitativas sobre las Barreras para la Integración Tecnológica</w:t>
      </w:r>
    </w:p>
    <w:p>
      <w:pPr>
        <w:spacing w:line="480" w:lineRule="auto"/>
        <w:jc w:val="both"/>
      </w:pPr>
      <w:r>
        <w:rPr>
          <w:rFonts w:ascii="Times New Roman" w:cs="Times New Roman" w:eastAsia="Times New Roman" w:hAnsi="Times New Roman"/>
          <w:sz w:val="24"/>
          <w:szCs w:val="24"/>
        </w:rPr>
        <w:t xml:space="preserve">La pregunta abierta del cuestionario solicitó a los docentes identificar libremente los principales obstáculos que enfrentan para integrar la tecnología en sus lecciones. Mediante el análisis temático de las respuestas, se identificaron cinco categorías principales:</w:t>
      </w:r>
    </w:p>
    <w:p>
      <w:pPr>
        <w:spacing w:line="480" w:lineRule="auto"/>
        <w:ind w:left="567"/>
        <w:jc w:val="both"/>
      </w:pPr>
      <w:r>
        <w:rPr>
          <w:rFonts w:ascii="Times New Roman" w:cs="Times New Roman" w:eastAsia="Times New Roman" w:hAnsi="Times New Roman"/>
          <w:sz w:val="24"/>
          <w:szCs w:val="24"/>
        </w:rPr>
        <w:t xml:space="preserve">Limitaciones de infraestructura y conectividad: mencionada por el 85.7% de los participantes como la barrera más inmediata y recurrente.</w:t>
      </w:r>
    </w:p>
    <w:p>
      <w:pPr>
        <w:spacing w:line="480" w:lineRule="auto"/>
        <w:ind w:left="567"/>
        <w:jc w:val="both"/>
      </w:pPr>
      <w:r>
        <w:rPr>
          <w:rFonts w:ascii="Times New Roman" w:cs="Times New Roman" w:eastAsia="Times New Roman" w:hAnsi="Times New Roman"/>
          <w:sz w:val="24"/>
          <w:szCs w:val="24"/>
        </w:rPr>
        <w:t xml:space="preserve">Insuficiente capacitación y formación docente: referida por el 78.6% del personal, quienes demandan programas formativos contextualizados.</w:t>
      </w:r>
    </w:p>
    <w:p>
      <w:pPr>
        <w:spacing w:line="480" w:lineRule="auto"/>
        <w:ind w:left="567"/>
        <w:jc w:val="both"/>
      </w:pPr>
      <w:r>
        <w:rPr>
          <w:rFonts w:ascii="Times New Roman" w:cs="Times New Roman" w:eastAsia="Times New Roman" w:hAnsi="Times New Roman"/>
          <w:sz w:val="24"/>
          <w:szCs w:val="24"/>
        </w:rPr>
        <w:t xml:space="preserve">Falta de tiempo para planificación de actividades con tecnología: señalada por el 64.3%, evidenciando sobrecarga laboral docente.</w:t>
      </w:r>
    </w:p>
    <w:p>
      <w:pPr>
        <w:spacing w:line="480" w:lineRule="auto"/>
        <w:ind w:left="567"/>
        <w:jc w:val="both"/>
      </w:pPr>
      <w:r>
        <w:rPr>
          <w:rFonts w:ascii="Times New Roman" w:cs="Times New Roman" w:eastAsia="Times New Roman" w:hAnsi="Times New Roman"/>
          <w:sz w:val="24"/>
          <w:szCs w:val="24"/>
        </w:rPr>
        <w:t xml:space="preserve">Ausencia de apoyo institucional y directivo: indicada por el 57.1% como un factor que desmotiva la innovación pedagógica.</w:t>
      </w:r>
    </w:p>
    <w:p>
      <w:pPr>
        <w:spacing w:line="480" w:lineRule="auto"/>
        <w:ind w:left="567"/>
        <w:jc w:val="both"/>
      </w:pPr>
      <w:r>
        <w:rPr>
          <w:rFonts w:ascii="Times New Roman" w:cs="Times New Roman" w:eastAsia="Times New Roman" w:hAnsi="Times New Roman"/>
          <w:sz w:val="24"/>
          <w:szCs w:val="24"/>
        </w:rPr>
        <w:t xml:space="preserve">Resistencia personal al cambio tecnológico: reconocida por el 35.7%, quienes expresaron inseguridad frente a las nuevas herramientas digitales.</w:t>
      </w:r>
    </w:p>
    <w:p>
      <w:pPr>
        <w:spacing w:line="480" w:lineRule="auto"/>
        <w:jc w:val="both"/>
      </w:pPr>
      <w:r>
        <w:rPr>
          <w:rFonts w:ascii="Times New Roman" w:cs="Times New Roman" w:eastAsia="Times New Roman" w:hAnsi="Times New Roman"/>
          <w:sz w:val="24"/>
          <w:szCs w:val="24"/>
        </w:rPr>
        <w:t xml:space="preserve">La triangulación de los datos cuantitativos y cualitativos ofrece un panorama coherente y comprehensivo de la realidad tecnológica de la institución, y provee una base sólida para la formulación del diagnóstico y las recomendaciones de gestión educativa.</w:t>
      </w:r>
    </w:p>
    <w:p>
      <w:pPr>
        <w:spacing w:line="480" w:lineRule="auto"/>
      </w:pPr>
    </w:p>
    <w:p>
      <w:pPr>
        <w:spacing w:after="120" w:before="120" w:line="480" w:lineRule="auto"/>
        <w:jc w:val="center"/>
      </w:pPr>
      <w:r>
        <w:rPr>
          <w:rFonts w:ascii="Times New Roman" w:cs="Times New Roman" w:eastAsia="Times New Roman" w:hAnsi="Times New Roman"/>
          <w:b/>
          <w:bCs/>
          <w:sz w:val="24"/>
          <w:szCs w:val="24"/>
        </w:rPr>
        <w:t xml:space="preserve">Discusión</w:t>
      </w:r>
    </w:p>
    <w:p>
      <w:pPr>
        <w:spacing w:line="480" w:lineRule="auto"/>
        <w:jc w:val="both"/>
      </w:pPr>
      <w:r>
        <w:rPr>
          <w:rFonts w:ascii="Times New Roman" w:cs="Times New Roman" w:eastAsia="Times New Roman" w:hAnsi="Times New Roman"/>
          <w:sz w:val="24"/>
          <w:szCs w:val="24"/>
        </w:rPr>
        <w:t xml:space="preserve">Los hallazgos del presente estudio confirman, desde una perspectiva empírica e institucional específica, las tendencias documentadas en la literatura especializada sobre integración de la tecnología digital en la educación primaria. La discusión de resultados se organiza en torno a las principales categorías de análisis, contrastándolas con el marco teórico y los antecedentes del estudio.</w:t>
      </w:r>
    </w:p>
    <w:p>
      <w:pPr>
        <w:spacing w:line="480" w:lineRule="auto"/>
      </w:pPr>
    </w:p>
    <w:p>
      <w:pPr>
        <w:spacing w:line="480" w:lineRule="auto"/>
        <w:jc w:val="left"/>
      </w:pPr>
      <w:r>
        <w:rPr>
          <w:rFonts w:ascii="Times New Roman" w:cs="Times New Roman" w:eastAsia="Times New Roman" w:hAnsi="Times New Roman"/>
          <w:b/>
          <w:bCs/>
          <w:sz w:val="24"/>
          <w:szCs w:val="24"/>
        </w:rPr>
        <w:t xml:space="preserve">La Paradoja de la Infraestructura Digital</w:t>
      </w:r>
    </w:p>
    <w:p>
      <w:pPr>
        <w:spacing w:line="480" w:lineRule="auto"/>
        <w:ind w:left="567"/>
        <w:jc w:val="both"/>
      </w:pPr>
      <w:r>
        <w:rPr>
          <w:rFonts w:ascii="Times New Roman" w:cs="Times New Roman" w:eastAsia="Times New Roman" w:hAnsi="Times New Roman"/>
          <w:sz w:val="24"/>
          <w:szCs w:val="24"/>
        </w:rPr>
        <w:t xml:space="preserve">Los resultados corroboran el planteamiento de Sunkel y Trucco (2012) sobre la paradoja de la infraestructura digital: la presencia de dispositivos tecnológicos en la institución no ha sido suficiente para garantizar su integración pedagógica efectiva. La Escuela Líder General Thomas Guardia dispone de un aula de cómputo, tabletas y proyectores; sin embargo, el 64.3% de los docentes percibe la conectividad a internet como deficiente y el 50% valora las computadoras de escritorio en estado precario. Esta situación convierte la infraestructura existente en un recurso subutilizado, cuyo potencial pedagógico no puede ser aprovechado en condiciones de funcionamiento tan limitadas.</w:t>
      </w:r>
    </w:p>
    <w:p>
      <w:pPr>
        <w:spacing w:line="480" w:lineRule="auto"/>
        <w:ind w:left="567"/>
        <w:jc w:val="both"/>
      </w:pPr>
      <w:r>
        <w:rPr>
          <w:rFonts w:ascii="Times New Roman" w:cs="Times New Roman" w:eastAsia="Times New Roman" w:hAnsi="Times New Roman"/>
          <w:sz w:val="24"/>
          <w:szCs w:val="24"/>
        </w:rPr>
        <w:t xml:space="preserve">Esta brecha entre disponibilidad y funcionalidad efectiva concuerda con lo señalado por el Estado de la Educación (2021), que identifica en las escuelas públicas costarricenses un patrón similar: la dotación de equipos no ha sido acompañada de una estrategia sostenida de mantenimiento, actualización y conectividad. En el caso específico de la región Caribe, las condiciones socioeconómicas y geográficas agravan esta problemática, generando una desventaja acumulativa para los estudiantes de zonas periféricas como Limón.</w:t>
      </w:r>
    </w:p>
    <w:p>
      <w:pPr>
        <w:spacing w:line="480" w:lineRule="auto"/>
      </w:pPr>
    </w:p>
    <w:p>
      <w:pPr>
        <w:spacing w:line="480" w:lineRule="auto"/>
        <w:jc w:val="left"/>
      </w:pPr>
      <w:r>
        <w:rPr>
          <w:rFonts w:ascii="Times New Roman" w:cs="Times New Roman" w:eastAsia="Times New Roman" w:hAnsi="Times New Roman"/>
          <w:b/>
          <w:bCs/>
          <w:sz w:val="24"/>
          <w:szCs w:val="24"/>
        </w:rPr>
        <w:t xml:space="preserve">Las Competencias Digitales Docentes y el Modelo TPACK</w:t>
      </w:r>
    </w:p>
    <w:p>
      <w:pPr>
        <w:spacing w:line="480" w:lineRule="auto"/>
        <w:ind w:left="567"/>
        <w:jc w:val="both"/>
      </w:pPr>
      <w:r>
        <w:rPr>
          <w:rFonts w:ascii="Times New Roman" w:cs="Times New Roman" w:eastAsia="Times New Roman" w:hAnsi="Times New Roman"/>
          <w:sz w:val="24"/>
          <w:szCs w:val="24"/>
        </w:rPr>
        <w:t xml:space="preserve">Desde la perspectiva del modelo TPACK (Mishra y Koehler, 2006), la integración tecnológica efectiva requiere que los docentes articulen simultáneamente conocimientos tecnológicos, pedagógicos y disciplinares. Los resultados del presente estudio revelan que el 64.3% del personal se ubica en los niveles básico e inicial de competencia digital, lo que evidencia una brecha significativa en el componente tecnológico del modelo. Sin los conocimientos tecnológicos necesarios, los docentes no pueden movilizar el potencial pedagógico de los recursos disponibles, independientemente de su dominio disciplinar o pedagógico.</w:t>
      </w:r>
    </w:p>
    <w:p>
      <w:pPr>
        <w:spacing w:line="480" w:lineRule="auto"/>
        <w:ind w:left="567"/>
        <w:jc w:val="both"/>
      </w:pPr>
      <w:r>
        <w:rPr>
          <w:rFonts w:ascii="Times New Roman" w:cs="Times New Roman" w:eastAsia="Times New Roman" w:hAnsi="Times New Roman"/>
          <w:sz w:val="24"/>
          <w:szCs w:val="24"/>
        </w:rPr>
        <w:t xml:space="preserve">Este hallazgo dialoga con la propuesta de Redecker (2017) sobre las competencias digitales docentes (DigCompEdu), que establece que los educadores del siglo XXI deben desarrollar capacidades específicas no solo para usar herramientas digitales, sino para diseñar experiencias de aprendizaje enriquecidas con tecnología. El 78.6% del personal que no ha recibido capacitación específica en los últimos dos años representa un déficit formativo que compromete seriamente la calidad de la integración tecnológica en la institución.</w:t>
      </w:r>
    </w:p>
    <w:p>
      <w:pPr>
        <w:spacing w:line="480" w:lineRule="auto"/>
        <w:ind w:left="567"/>
        <w:jc w:val="both"/>
      </w:pPr>
      <w:r>
        <w:rPr>
          <w:rFonts w:ascii="Times New Roman" w:cs="Times New Roman" w:eastAsia="Times New Roman" w:hAnsi="Times New Roman"/>
          <w:sz w:val="24"/>
          <w:szCs w:val="24"/>
        </w:rPr>
        <w:t xml:space="preserve">Cabe destacar que la ausencia de capacitación contextualizada —es decir, adaptada a las condiciones específicas de la institución y al currículo de primaria— ha sido señalada por Chacón y Ramírez (2019) como uno de los factores explicativos del bajo impacto de programas nacionales como Tecno@prender. Esto sugiere que las estrategias de formación docente deben priorizar la pertinencia contextual y la continuidad pedagógica, más allá de la formación técnica instrumental.</w:t>
      </w:r>
    </w:p>
    <w:p>
      <w:pPr>
        <w:spacing w:line="480" w:lineRule="auto"/>
      </w:pPr>
    </w:p>
    <w:p>
      <w:pPr>
        <w:spacing w:line="480" w:lineRule="auto"/>
        <w:jc w:val="left"/>
      </w:pPr>
      <w:r>
        <w:rPr>
          <w:rFonts w:ascii="Times New Roman" w:cs="Times New Roman" w:eastAsia="Times New Roman" w:hAnsi="Times New Roman"/>
          <w:b/>
          <w:bCs/>
          <w:sz w:val="24"/>
          <w:szCs w:val="24"/>
        </w:rPr>
        <w:t xml:space="preserve">El Rol del Liderazgo Pedagógico en la Integración Tecnológica</w:t>
      </w:r>
    </w:p>
    <w:p>
      <w:pPr>
        <w:spacing w:line="480" w:lineRule="auto"/>
        <w:ind w:left="567"/>
        <w:jc w:val="both"/>
      </w:pPr>
      <w:r>
        <w:rPr>
          <w:rFonts w:ascii="Times New Roman" w:cs="Times New Roman" w:eastAsia="Times New Roman" w:hAnsi="Times New Roman"/>
          <w:sz w:val="24"/>
          <w:szCs w:val="24"/>
        </w:rPr>
        <w:t xml:space="preserve">Los hallazgos relativos a las políticas institucionales son particularmente relevantes desde la perspectiva de la Administración Educativa. El 71.4% de los docentes indica que la institución carece de un plan formal de uso tecnológico y el 78.6% señala que no se realizan reuniones periódicas sobre integración digital. Estos datos son consistentes con el planteamiento de Leithwood (2004) sobre el papel determinante del liderazgo pedagógico: cuando la dirección no promueve activamente la innovación tecnológica ni establece condiciones institucionales para ella, los docentes tienden a mantener prácticas pedagógicas tradicionales, independientemente de los recursos disponibles.</w:t>
      </w:r>
    </w:p>
    <w:p>
      <w:pPr>
        <w:spacing w:line="480" w:lineRule="auto"/>
        <w:ind w:left="567"/>
        <w:jc w:val="both"/>
      </w:pPr>
      <w:r>
        <w:rPr>
          <w:rFonts w:ascii="Times New Roman" w:cs="Times New Roman" w:eastAsia="Times New Roman" w:hAnsi="Times New Roman"/>
          <w:sz w:val="24"/>
          <w:szCs w:val="24"/>
        </w:rPr>
        <w:t xml:space="preserve">El hecho de que solo el 35.7% de los docentes perciba que la dirección promueve activamente el uso de la tecnología es una señal de alerta institucional significativa. Desde la perspectiva de la gestión educativa, la transformación de las prácticas pedagógicas requiere un liderazgo distribuido que movilice a toda la comunidad educativa hacia una cultura de innovación sostenida y reflexiva. La ausencia de este liderazgo pedagógico-tecnológico perpetúa la subutilización de los recursos disponibles y limita las posibilidades de mejora educativa.</w:t>
      </w:r>
    </w:p>
    <w:p>
      <w:pPr>
        <w:spacing w:line="480" w:lineRule="auto"/>
      </w:pPr>
    </w:p>
    <w:p>
      <w:pPr>
        <w:spacing w:line="480" w:lineRule="auto"/>
        <w:jc w:val="left"/>
      </w:pPr>
      <w:r>
        <w:rPr>
          <w:rFonts w:ascii="Times New Roman" w:cs="Times New Roman" w:eastAsia="Times New Roman" w:hAnsi="Times New Roman"/>
          <w:b/>
          <w:bCs/>
          <w:sz w:val="24"/>
          <w:szCs w:val="24"/>
        </w:rPr>
        <w:t xml:space="preserve">El Contexto Socioeconómico como Factor Estructural</w:t>
      </w:r>
    </w:p>
    <w:p>
      <w:pPr>
        <w:spacing w:line="480" w:lineRule="auto"/>
        <w:ind w:left="567"/>
        <w:jc w:val="both"/>
      </w:pPr>
      <w:r>
        <w:rPr>
          <w:rFonts w:ascii="Times New Roman" w:cs="Times New Roman" w:eastAsia="Times New Roman" w:hAnsi="Times New Roman"/>
          <w:sz w:val="24"/>
          <w:szCs w:val="24"/>
        </w:rPr>
        <w:t xml:space="preserve">Una dimensión que atraviesa transversalmente todos los hallazgos es el contexto socioeconómico de la provincia de Limón. La región Caribe concentra algunos de los indicadores de pobreza y exclusión social más altos del país (INEC, 2022), lo que se traduce en hogares con acceso muy limitado a dispositivos e internet. Esta realidad implica que las brechas digitales de los estudiantes no se limitan al espacio escolar, sino que se extienden al ámbito familiar, reduciendo las posibilidades de aprendizaje mediado por tecnología fuera del aula.</w:t>
      </w:r>
    </w:p>
    <w:p>
      <w:pPr>
        <w:spacing w:line="480" w:lineRule="auto"/>
        <w:ind w:left="567"/>
        <w:jc w:val="both"/>
      </w:pPr>
      <w:r>
        <w:rPr>
          <w:rFonts w:ascii="Times New Roman" w:cs="Times New Roman" w:eastAsia="Times New Roman" w:hAnsi="Times New Roman"/>
          <w:sz w:val="24"/>
          <w:szCs w:val="24"/>
        </w:rPr>
        <w:t xml:space="preserve">El informe del Banco Mundial (2022) subraya que los países con mayores avances en integración tecnológica son aquellos que han invertido simultáneamente en infraestructura, formación y monitoreo. En el caso de instituciones ubicadas en contextos de alta vulnerabilidad como la Escuela Líder General Thomas Guardia, esta inversión sistémica resulta aún más urgente, dado que los estudiantes no cuentan con redes de apoyo tecnológico externas a la escuela que puedan compensar las limitaciones institucionales.</w:t>
      </w:r>
    </w:p>
    <w:p>
      <w:pPr>
        <w:spacing w:line="480" w:lineRule="auto"/>
        <w:ind w:left="567"/>
        <w:jc w:val="both"/>
      </w:pPr>
      <w:r>
        <w:rPr>
          <w:rFonts w:ascii="Times New Roman" w:cs="Times New Roman" w:eastAsia="Times New Roman" w:hAnsi="Times New Roman"/>
          <w:sz w:val="24"/>
          <w:szCs w:val="24"/>
        </w:rPr>
        <w:t xml:space="preserve">En conjunto, los resultados del estudio configuran un diagnóstico institucional coherente: la integración tecnológica en la Escuela Líder General Thomas Guardia se ve obstaculizada por una confluencia de factores que incluyen la precariedad de la infraestructura, la insuficiente formación docente, la ausencia de políticas institucionales y un liderazgo pedagógico aún incipiente en materia tecnológica. Superar esta situación requiere una estrategia de gestión educativa integral, sistemática y contextualizada, cuyos lineamientos se presentan en las conclusiones y recomendaciones del estudio.</w:t>
      </w:r>
    </w:p>
    <w:p>
      <w:pPr>
        <w:spacing w:line="480" w:lineRule="auto"/>
      </w:pPr>
    </w:p>
    <w:p>
      <w:pPr>
        <w:spacing w:after="120" w:before="120" w:line="480" w:lineRule="auto"/>
        <w:jc w:val="center"/>
      </w:pPr>
      <w:r>
        <w:rPr>
          <w:rFonts w:ascii="Times New Roman" w:cs="Times New Roman" w:eastAsia="Times New Roman" w:hAnsi="Times New Roman"/>
          <w:b/>
          <w:bCs/>
          <w:sz w:val="24"/>
          <w:szCs w:val="24"/>
        </w:rPr>
        <w:t xml:space="preserve">Conclusiones</w:t>
      </w:r>
    </w:p>
    <w:p>
      <w:pPr>
        <w:spacing w:line="480" w:lineRule="auto"/>
        <w:jc w:val="both"/>
      </w:pPr>
      <w:r>
        <w:rPr>
          <w:rFonts w:ascii="Times New Roman" w:cs="Times New Roman" w:eastAsia="Times New Roman" w:hAnsi="Times New Roman"/>
          <w:sz w:val="24"/>
          <w:szCs w:val="24"/>
        </w:rPr>
        <w:t xml:space="preserve">A partir del análisis de los datos recopilados y de su discusión en el marco teórico de referencia, se presentan las siguientes conclusiones, organizadas en correspondencia con los objetivos específicos de la investigación.</w:t>
      </w:r>
    </w:p>
    <w:p>
      <w:pPr>
        <w:spacing w:line="480" w:lineRule="auto"/>
      </w:pPr>
    </w:p>
    <w:p>
      <w:pPr>
        <w:spacing w:line="480" w:lineRule="auto"/>
        <w:jc w:val="left"/>
      </w:pPr>
      <w:r>
        <w:rPr>
          <w:rFonts w:ascii="Times New Roman" w:cs="Times New Roman" w:eastAsia="Times New Roman" w:hAnsi="Times New Roman"/>
          <w:b/>
          <w:bCs/>
          <w:sz w:val="24"/>
          <w:szCs w:val="24"/>
        </w:rPr>
        <w:t xml:space="preserve">Sobre el Nivel de Uso de la Tecnología Digital</w:t>
      </w:r>
    </w:p>
    <w:p>
      <w:pPr>
        <w:spacing w:line="480" w:lineRule="auto"/>
        <w:ind w:left="567"/>
        <w:jc w:val="both"/>
      </w:pPr>
      <w:r>
        <w:rPr>
          <w:rFonts w:ascii="Times New Roman" w:cs="Times New Roman" w:eastAsia="Times New Roman" w:hAnsi="Times New Roman"/>
          <w:sz w:val="24"/>
          <w:szCs w:val="24"/>
        </w:rPr>
        <w:t xml:space="preserve">El nivel de uso de la tecnología digital en la Escuela Líder General Thomas Guardia es mayoritariamente esporádico y no sistemático. Únicamente el 35.7% del personal docente incorpora la tecnología con una frecuencia alta en sus lecciones, mientras que el 64.3% restante lo hace de forma ocasional o circunstancial. Esta realidad refleja que la tecnología no ha logrado integrarse como una herramienta pedagógica regular dentro del proceso de enseñanza-aprendizaje, manteniéndose en los márgenes de la práctica docente cotidiana.</w:t>
      </w:r>
    </w:p>
    <w:p>
      <w:pPr>
        <w:spacing w:line="480" w:lineRule="auto"/>
        <w:ind w:left="567"/>
        <w:jc w:val="both"/>
      </w:pPr>
      <w:r>
        <w:rPr>
          <w:rFonts w:ascii="Times New Roman" w:cs="Times New Roman" w:eastAsia="Times New Roman" w:hAnsi="Times New Roman"/>
          <w:sz w:val="24"/>
          <w:szCs w:val="24"/>
        </w:rPr>
        <w:t xml:space="preserve">La escasa frecuencia de uso no responde a falta de voluntad docente, sino a una combinación de factores estructurales —infraestructura deficiente, conectividad precaria— y formativos —bajos niveles de competencia digital— que obstaculizan objetivamente la incorporación sistemática de la tecnología en el aula.</w:t>
      </w:r>
    </w:p>
    <w:p>
      <w:pPr>
        <w:spacing w:line="480" w:lineRule="auto"/>
      </w:pPr>
    </w:p>
    <w:p>
      <w:pPr>
        <w:spacing w:line="480" w:lineRule="auto"/>
        <w:jc w:val="left"/>
      </w:pPr>
      <w:r>
        <w:rPr>
          <w:rFonts w:ascii="Times New Roman" w:cs="Times New Roman" w:eastAsia="Times New Roman" w:hAnsi="Times New Roman"/>
          <w:b/>
          <w:bCs/>
          <w:sz w:val="24"/>
          <w:szCs w:val="24"/>
        </w:rPr>
        <w:t xml:space="preserve">Sobre las Debilidades Institucionales</w:t>
      </w:r>
    </w:p>
    <w:p>
      <w:pPr>
        <w:spacing w:line="480" w:lineRule="auto"/>
        <w:ind w:left="567"/>
        <w:jc w:val="both"/>
      </w:pPr>
      <w:r>
        <w:rPr>
          <w:rFonts w:ascii="Times New Roman" w:cs="Times New Roman" w:eastAsia="Times New Roman" w:hAnsi="Times New Roman"/>
          <w:sz w:val="24"/>
          <w:szCs w:val="24"/>
        </w:rPr>
        <w:t xml:space="preserve">Las principales debilidades institucionales identificadas son de naturaleza estructural y organizacional. En el plano estructural, destaca la precariedad de la conectividad a internet —calificada como deficiente por el 64.3% de los docentes— y el estado deteriorado de los equipos de cómputo y las plataformas digitales. En el plano organizacional, la ausencia de un plan institucional de uso tecnológico, señalada por el 71.4% del personal, constituye la debilidad más significativa desde la perspectiva de la gestión educativa.</w:t>
      </w:r>
    </w:p>
    <w:p>
      <w:pPr>
        <w:spacing w:line="480" w:lineRule="auto"/>
        <w:ind w:left="567"/>
        <w:jc w:val="both"/>
      </w:pPr>
      <w:r>
        <w:rPr>
          <w:rFonts w:ascii="Times New Roman" w:cs="Times New Roman" w:eastAsia="Times New Roman" w:hAnsi="Times New Roman"/>
          <w:sz w:val="24"/>
          <w:szCs w:val="24"/>
        </w:rPr>
        <w:t xml:space="preserve">Estas debilidades configuran un círculo vicioso: sin infraestructura funcional, los docentes no pueden experimentar el potencial de la tecnología; sin políticas claras, no hay orientación para su uso pedagógico; y sin capacitación, no hay competencias para aprovechar las herramientas disponibles. Romper este círculo requiere intervenciones simultáneas en las tres dimensiones.</w:t>
      </w:r>
    </w:p>
    <w:p>
      <w:pPr>
        <w:spacing w:line="480" w:lineRule="auto"/>
      </w:pPr>
    </w:p>
    <w:p>
      <w:pPr>
        <w:spacing w:line="480" w:lineRule="auto"/>
        <w:jc w:val="left"/>
      </w:pPr>
      <w:r>
        <w:rPr>
          <w:rFonts w:ascii="Times New Roman" w:cs="Times New Roman" w:eastAsia="Times New Roman" w:hAnsi="Times New Roman"/>
          <w:b/>
          <w:bCs/>
          <w:sz w:val="24"/>
          <w:szCs w:val="24"/>
        </w:rPr>
        <w:t xml:space="preserve">Sobre la Relación entre Capacitación, Políticas y Aprovechamiento Tecnológico</w:t>
      </w:r>
    </w:p>
    <w:p>
      <w:pPr>
        <w:spacing w:line="480" w:lineRule="auto"/>
        <w:ind w:left="567"/>
        <w:jc w:val="both"/>
      </w:pPr>
      <w:r>
        <w:rPr>
          <w:rFonts w:ascii="Times New Roman" w:cs="Times New Roman" w:eastAsia="Times New Roman" w:hAnsi="Times New Roman"/>
          <w:sz w:val="24"/>
          <w:szCs w:val="24"/>
        </w:rPr>
        <w:t xml:space="preserve">El estudio confirma una relación directa entre el nivel de capacitación docente, la existencia de políticas institucionales y el aprovechamiento pedagógico de la tecnología. Los docentes que reportan haber participado en procesos formativos recientes exhiben mayor frecuencia de uso de la tecnología y una autovaloración de competencia digital más elevada. A la inversa, la ausencia de capacitación y de marcos institucionales normativos se asocia con un uso limitado y periférico de las herramientas disponibles.</w:t>
      </w:r>
    </w:p>
    <w:p>
      <w:pPr>
        <w:spacing w:line="480" w:lineRule="auto"/>
        <w:ind w:left="567"/>
        <w:jc w:val="both"/>
      </w:pPr>
      <w:r>
        <w:rPr>
          <w:rFonts w:ascii="Times New Roman" w:cs="Times New Roman" w:eastAsia="Times New Roman" w:hAnsi="Times New Roman"/>
          <w:sz w:val="24"/>
          <w:szCs w:val="24"/>
        </w:rPr>
        <w:t xml:space="preserve">Este hallazgo es consistente con la propuesta del modelo TPACK (Mishra y Koehler, 2006) y con las recomendaciones del Banco Mundial (2022): la capacitación docente continua y las políticas institucionales claras son condiciones necesarias —aunque no suficientes por sí solas— para garantizar una integración tecnológica efectiva y sostenida en el tiempo.</w:t>
      </w:r>
    </w:p>
    <w:p>
      <w:pPr>
        <w:spacing w:line="480" w:lineRule="auto"/>
      </w:pPr>
    </w:p>
    <w:p>
      <w:pPr>
        <w:spacing w:line="480" w:lineRule="auto"/>
        <w:jc w:val="left"/>
      </w:pPr>
      <w:r>
        <w:rPr>
          <w:rFonts w:ascii="Times New Roman" w:cs="Times New Roman" w:eastAsia="Times New Roman" w:hAnsi="Times New Roman"/>
          <w:b/>
          <w:bCs/>
          <w:sz w:val="24"/>
          <w:szCs w:val="24"/>
        </w:rPr>
        <w:t xml:space="preserve">Síntesis del Diagnóstico Institucional</w:t>
      </w:r>
    </w:p>
    <w:p>
      <w:pPr>
        <w:spacing w:line="480" w:lineRule="auto"/>
        <w:ind w:left="567"/>
        <w:jc w:val="both"/>
      </w:pPr>
      <w:r>
        <w:rPr>
          <w:rFonts w:ascii="Times New Roman" w:cs="Times New Roman" w:eastAsia="Times New Roman" w:hAnsi="Times New Roman"/>
          <w:sz w:val="24"/>
          <w:szCs w:val="24"/>
        </w:rPr>
        <w:t xml:space="preserve">La Escuela Líder General Thomas Guardia enfrenta una problemática multidimensional en materia de integración tecnológica, caracterizada por la convergencia de limitaciones de infraestructura, déficit formativo del personal docente, ausencia de políticas institucionales y un liderazgo pedagógico aún insuficientemente orientado hacia la innovación digital. Esta realidad, agravada por el contexto de vulnerabilidad socioeconómica de la región de Limón, demanda una respuesta institucional estratégica, planificada y sostenida en el tiempo.</w:t>
      </w:r>
    </w:p>
    <w:p>
      <w:pPr>
        <w:spacing w:line="480" w:lineRule="auto"/>
        <w:ind w:left="567"/>
        <w:jc w:val="both"/>
      </w:pPr>
      <w:r>
        <w:rPr>
          <w:rFonts w:ascii="Times New Roman" w:cs="Times New Roman" w:eastAsia="Times New Roman" w:hAnsi="Times New Roman"/>
          <w:sz w:val="24"/>
          <w:szCs w:val="24"/>
        </w:rPr>
        <w:t xml:space="preserve">El diagnóstico también permite identificar fortalezas sobre las cuales construir: la disposición mayoritaria del personal docente para recibir capacitación, la existencia de recursos tecnológicos físicos que pueden ser optimizados, y la presencia de docentes con competencias digitales intermedias y avanzadas que pueden actuar como multiplicadores internos de buenas prácticas.</w:t>
      </w:r>
    </w:p>
    <w:p>
      <w:pPr>
        <w:spacing w:line="480" w:lineRule="auto"/>
      </w:pPr>
    </w:p>
    <w:p>
      <w:pPr>
        <w:spacing w:after="120" w:before="120" w:line="480" w:lineRule="auto"/>
        <w:jc w:val="center"/>
      </w:pPr>
      <w:r>
        <w:rPr>
          <w:rFonts w:ascii="Times New Roman" w:cs="Times New Roman" w:eastAsia="Times New Roman" w:hAnsi="Times New Roman"/>
          <w:b/>
          <w:bCs/>
          <w:sz w:val="24"/>
          <w:szCs w:val="24"/>
        </w:rPr>
        <w:t xml:space="preserve">Recomendaciones</w:t>
      </w:r>
    </w:p>
    <w:p>
      <w:pPr>
        <w:spacing w:line="480" w:lineRule="auto"/>
        <w:jc w:val="both"/>
      </w:pPr>
      <w:r>
        <w:rPr>
          <w:rFonts w:ascii="Times New Roman" w:cs="Times New Roman" w:eastAsia="Times New Roman" w:hAnsi="Times New Roman"/>
          <w:sz w:val="24"/>
          <w:szCs w:val="24"/>
        </w:rPr>
        <w:t xml:space="preserve">Con base en los resultados, la discusión y las conclusiones del estudio, se formulan las siguientes recomendaciones de gestión educativa, dirigidas a la dirección de la Escuela Líder General Thomas Guardia, a la supervisión del Circuito 01 y a las instancias de la Dirección Regional de Limón. Las recomendaciones se organizan en cuatro ejes estratégicos.</w:t>
      </w:r>
    </w:p>
    <w:p>
      <w:pPr>
        <w:spacing w:line="480" w:lineRule="auto"/>
      </w:pPr>
    </w:p>
    <w:p>
      <w:pPr>
        <w:spacing w:line="480" w:lineRule="auto"/>
        <w:jc w:val="left"/>
      </w:pPr>
      <w:r>
        <w:rPr>
          <w:rFonts w:ascii="Times New Roman" w:cs="Times New Roman" w:eastAsia="Times New Roman" w:hAnsi="Times New Roman"/>
          <w:b/>
          <w:bCs/>
          <w:sz w:val="24"/>
          <w:szCs w:val="24"/>
        </w:rPr>
        <w:t xml:space="preserve">Eje 1: Fortalecimiento de la Infraestructura Tecnológica</w:t>
      </w:r>
    </w:p>
    <w:p>
      <w:pPr>
        <w:spacing w:line="480" w:lineRule="auto"/>
        <w:ind w:left="567"/>
        <w:jc w:val="both"/>
      </w:pPr>
      <w:r>
        <w:rPr>
          <w:rFonts w:ascii="Times New Roman" w:cs="Times New Roman" w:eastAsia="Times New Roman" w:hAnsi="Times New Roman"/>
          <w:sz w:val="24"/>
          <w:szCs w:val="24"/>
        </w:rPr>
        <w:t xml:space="preserve">Gestionar ante la Dirección Regional de Limón y el MEP la actualización y mantenimiento periódico del equipamiento tecnológico, con especial atención al aula de cómputo y a la conectividad a internet.</w:t>
      </w:r>
    </w:p>
    <w:p>
      <w:pPr>
        <w:spacing w:line="480" w:lineRule="auto"/>
        <w:ind w:left="567"/>
        <w:jc w:val="both"/>
      </w:pPr>
      <w:r>
        <w:rPr>
          <w:rFonts w:ascii="Times New Roman" w:cs="Times New Roman" w:eastAsia="Times New Roman" w:hAnsi="Times New Roman"/>
          <w:sz w:val="24"/>
          <w:szCs w:val="24"/>
        </w:rPr>
        <w:t xml:space="preserve">Elaborar un inventario actualizado de los recursos tecnológicos disponibles, estableciendo un sistema de mantenimiento preventivo y correctivo con responsables claramente asignados.</w:t>
      </w:r>
    </w:p>
    <w:p>
      <w:pPr>
        <w:spacing w:line="480" w:lineRule="auto"/>
        <w:ind w:left="567"/>
        <w:jc w:val="both"/>
      </w:pPr>
      <w:r>
        <w:rPr>
          <w:rFonts w:ascii="Times New Roman" w:cs="Times New Roman" w:eastAsia="Times New Roman" w:hAnsi="Times New Roman"/>
          <w:sz w:val="24"/>
          <w:szCs w:val="24"/>
        </w:rPr>
        <w:t xml:space="preserve">Explorar alianzas con organizaciones públicas y privadas (Fonatel, CCSS, municipalidad) que permitan mejorar la conectividad y acceder a financiamiento para la modernización del equipamiento escolar.</w:t>
      </w:r>
    </w:p>
    <w:p>
      <w:pPr>
        <w:spacing w:line="480" w:lineRule="auto"/>
        <w:ind w:left="567"/>
        <w:jc w:val="both"/>
      </w:pPr>
      <w:r>
        <w:rPr>
          <w:rFonts w:ascii="Times New Roman" w:cs="Times New Roman" w:eastAsia="Times New Roman" w:hAnsi="Times New Roman"/>
          <w:sz w:val="24"/>
          <w:szCs w:val="24"/>
        </w:rPr>
        <w:t xml:space="preserve">Establecer protocolos de uso responsable y cuidado de los dispositivos tecnológicos, socializados con el personal docente y la comunidad estudiantil.</w:t>
      </w:r>
    </w:p>
    <w:p>
      <w:pPr>
        <w:spacing w:line="480" w:lineRule="auto"/>
      </w:pPr>
    </w:p>
    <w:p>
      <w:pPr>
        <w:spacing w:line="480" w:lineRule="auto"/>
        <w:jc w:val="left"/>
      </w:pPr>
      <w:r>
        <w:rPr>
          <w:rFonts w:ascii="Times New Roman" w:cs="Times New Roman" w:eastAsia="Times New Roman" w:hAnsi="Times New Roman"/>
          <w:b/>
          <w:bCs/>
          <w:sz w:val="24"/>
          <w:szCs w:val="24"/>
        </w:rPr>
        <w:t xml:space="preserve">Eje 2: Capacitación y Desarrollo Profesional Docente</w:t>
      </w:r>
    </w:p>
    <w:p>
      <w:pPr>
        <w:spacing w:line="480" w:lineRule="auto"/>
        <w:ind w:left="567"/>
        <w:jc w:val="both"/>
      </w:pPr>
      <w:r>
        <w:rPr>
          <w:rFonts w:ascii="Times New Roman" w:cs="Times New Roman" w:eastAsia="Times New Roman" w:hAnsi="Times New Roman"/>
          <w:sz w:val="24"/>
          <w:szCs w:val="24"/>
        </w:rPr>
        <w:t xml:space="preserve">Diseñar e implementar un plan de formación docente en competencias digitales educativas, contextualizado a las necesidades específicas del personal de la institución y articulado con el currículo de primaria del MEP.</w:t>
      </w:r>
    </w:p>
    <w:p>
      <w:pPr>
        <w:spacing w:line="480" w:lineRule="auto"/>
        <w:ind w:left="567"/>
        <w:jc w:val="both"/>
      </w:pPr>
      <w:r>
        <w:rPr>
          <w:rFonts w:ascii="Times New Roman" w:cs="Times New Roman" w:eastAsia="Times New Roman" w:hAnsi="Times New Roman"/>
          <w:sz w:val="24"/>
          <w:szCs w:val="24"/>
        </w:rPr>
        <w:t xml:space="preserve">Establecer un programa de mentorías internas entre pares, aprovechando las competencias de los docentes con niveles intermedios y avanzados para acompañar a sus colegas en el desarrollo de habilidades digitales.</w:t>
      </w:r>
    </w:p>
    <w:p>
      <w:pPr>
        <w:spacing w:line="480" w:lineRule="auto"/>
        <w:ind w:left="567"/>
        <w:jc w:val="both"/>
      </w:pPr>
      <w:r>
        <w:rPr>
          <w:rFonts w:ascii="Times New Roman" w:cs="Times New Roman" w:eastAsia="Times New Roman" w:hAnsi="Times New Roman"/>
          <w:sz w:val="24"/>
          <w:szCs w:val="24"/>
        </w:rPr>
        <w:t xml:space="preserve">Gestionar la participación de los docentes en los programas de formación en tecnología educativa ofrecidos por el MEP, el IDP y universidades públicas, garantizando tiempo y condiciones institucionales para ello.</w:t>
      </w:r>
    </w:p>
    <w:p>
      <w:pPr>
        <w:spacing w:line="480" w:lineRule="auto"/>
        <w:ind w:left="567"/>
        <w:jc w:val="both"/>
      </w:pPr>
      <w:r>
        <w:rPr>
          <w:rFonts w:ascii="Times New Roman" w:cs="Times New Roman" w:eastAsia="Times New Roman" w:hAnsi="Times New Roman"/>
          <w:sz w:val="24"/>
          <w:szCs w:val="24"/>
        </w:rPr>
        <w:t xml:space="preserve">Incluir la competencia digital docente como un criterio explícito en los procesos de autoevaluación y evaluación del desempeño profesional en la institución.</w:t>
      </w:r>
    </w:p>
    <w:p>
      <w:pPr>
        <w:spacing w:line="480" w:lineRule="auto"/>
      </w:pPr>
    </w:p>
    <w:p>
      <w:pPr>
        <w:spacing w:line="480" w:lineRule="auto"/>
        <w:jc w:val="left"/>
      </w:pPr>
      <w:r>
        <w:rPr>
          <w:rFonts w:ascii="Times New Roman" w:cs="Times New Roman" w:eastAsia="Times New Roman" w:hAnsi="Times New Roman"/>
          <w:b/>
          <w:bCs/>
          <w:sz w:val="24"/>
          <w:szCs w:val="24"/>
        </w:rPr>
        <w:t xml:space="preserve">Eje 3: Formulación de Políticas Institucionales sobre Tecnología Educativa</w:t>
      </w:r>
    </w:p>
    <w:p>
      <w:pPr>
        <w:spacing w:line="480" w:lineRule="auto"/>
        <w:ind w:left="567"/>
        <w:jc w:val="both"/>
      </w:pPr>
      <w:r>
        <w:rPr>
          <w:rFonts w:ascii="Times New Roman" w:cs="Times New Roman" w:eastAsia="Times New Roman" w:hAnsi="Times New Roman"/>
          <w:sz w:val="24"/>
          <w:szCs w:val="24"/>
        </w:rPr>
        <w:t xml:space="preserve">Elaborar un Plan Institucional de Integración Tecnológica (PIIT) que establezca objetivos, responsabilidades, cronograma y criterios de evaluación para el uso pedagógico de la tecnología en la institución.</w:t>
      </w:r>
    </w:p>
    <w:p>
      <w:pPr>
        <w:spacing w:line="480" w:lineRule="auto"/>
        <w:ind w:left="567"/>
        <w:jc w:val="both"/>
      </w:pPr>
      <w:r>
        <w:rPr>
          <w:rFonts w:ascii="Times New Roman" w:cs="Times New Roman" w:eastAsia="Times New Roman" w:hAnsi="Times New Roman"/>
          <w:sz w:val="24"/>
          <w:szCs w:val="24"/>
        </w:rPr>
        <w:t xml:space="preserve">Incorporar en el Plan Anual de Trabajo (PAT) metas específicas y medibles relacionadas con la integración de la tecnología digital en los procesos de enseñanza-aprendizaje.</w:t>
      </w:r>
    </w:p>
    <w:p>
      <w:pPr>
        <w:spacing w:line="480" w:lineRule="auto"/>
        <w:ind w:left="567"/>
        <w:jc w:val="both"/>
      </w:pPr>
      <w:r>
        <w:rPr>
          <w:rFonts w:ascii="Times New Roman" w:cs="Times New Roman" w:eastAsia="Times New Roman" w:hAnsi="Times New Roman"/>
          <w:sz w:val="24"/>
          <w:szCs w:val="24"/>
        </w:rPr>
        <w:t xml:space="preserve">Crear un Comité Institucional de Tecnología Educativa, integrado por docentes de distintos niveles y especialidades, que oriente, monitoree y evalúe la implementación de las estrategias tecnológicas.</w:t>
      </w:r>
    </w:p>
    <w:p>
      <w:pPr>
        <w:spacing w:line="480" w:lineRule="auto"/>
        <w:ind w:left="567"/>
        <w:jc w:val="both"/>
      </w:pPr>
      <w:r>
        <w:rPr>
          <w:rFonts w:ascii="Times New Roman" w:cs="Times New Roman" w:eastAsia="Times New Roman" w:hAnsi="Times New Roman"/>
          <w:sz w:val="24"/>
          <w:szCs w:val="24"/>
        </w:rPr>
        <w:t xml:space="preserve">Establecer lineamientos claros para el uso ético, responsable y pedagógicamente fundamentado de las herramientas digitales en el aula, socializados con toda la comunidad educativa.</w:t>
      </w:r>
    </w:p>
    <w:p>
      <w:pPr>
        <w:spacing w:line="480" w:lineRule="auto"/>
      </w:pPr>
    </w:p>
    <w:p>
      <w:pPr>
        <w:spacing w:line="480" w:lineRule="auto"/>
        <w:jc w:val="left"/>
      </w:pPr>
      <w:r>
        <w:rPr>
          <w:rFonts w:ascii="Times New Roman" w:cs="Times New Roman" w:eastAsia="Times New Roman" w:hAnsi="Times New Roman"/>
          <w:b/>
          <w:bCs/>
          <w:sz w:val="24"/>
          <w:szCs w:val="24"/>
        </w:rPr>
        <w:t xml:space="preserve">Eje 4: Fortalecimiento del Liderazgo Pedagógico-Tecnológico</w:t>
      </w:r>
    </w:p>
    <w:p>
      <w:pPr>
        <w:spacing w:line="480" w:lineRule="auto"/>
        <w:ind w:left="567"/>
        <w:jc w:val="both"/>
      </w:pPr>
      <w:r>
        <w:rPr>
          <w:rFonts w:ascii="Times New Roman" w:cs="Times New Roman" w:eastAsia="Times New Roman" w:hAnsi="Times New Roman"/>
          <w:sz w:val="24"/>
          <w:szCs w:val="24"/>
        </w:rPr>
        <w:t xml:space="preserve">Fortalecer el liderazgo pedagógico de la dirección en materia tecnológica, mediante la participación en espacios de formación directiva en innovación educativa y tecnología.</w:t>
      </w:r>
    </w:p>
    <w:p>
      <w:pPr>
        <w:spacing w:line="480" w:lineRule="auto"/>
        <w:ind w:left="567"/>
        <w:jc w:val="both"/>
      </w:pPr>
      <w:r>
        <w:rPr>
          <w:rFonts w:ascii="Times New Roman" w:cs="Times New Roman" w:eastAsia="Times New Roman" w:hAnsi="Times New Roman"/>
          <w:sz w:val="24"/>
          <w:szCs w:val="24"/>
        </w:rPr>
        <w:t xml:space="preserve">Promover una cultura institucional de innovación pedagógica, en la que el uso reflexivo y creativo de la tecnología sea valorado y estimulado como parte de la identidad profesional del centro educativo.</w:t>
      </w:r>
    </w:p>
    <w:p>
      <w:pPr>
        <w:spacing w:line="480" w:lineRule="auto"/>
        <w:ind w:left="567"/>
        <w:jc w:val="both"/>
      </w:pPr>
      <w:r>
        <w:rPr>
          <w:rFonts w:ascii="Times New Roman" w:cs="Times New Roman" w:eastAsia="Times New Roman" w:hAnsi="Times New Roman"/>
          <w:sz w:val="24"/>
          <w:szCs w:val="24"/>
        </w:rPr>
        <w:t xml:space="preserve">Establecer espacios periódicos (bimensuales) de reflexión colectiva entre el personal docente sobre experiencias de integración tecnológica, intercambio de buenas prácticas y resolución compartida de obstáculos.</w:t>
      </w:r>
    </w:p>
    <w:p>
      <w:pPr>
        <w:spacing w:line="480" w:lineRule="auto"/>
        <w:ind w:left="567"/>
        <w:jc w:val="both"/>
      </w:pPr>
      <w:r>
        <w:rPr>
          <w:rFonts w:ascii="Times New Roman" w:cs="Times New Roman" w:eastAsia="Times New Roman" w:hAnsi="Times New Roman"/>
          <w:sz w:val="24"/>
          <w:szCs w:val="24"/>
        </w:rPr>
        <w:t xml:space="preserve">Implementar un sistema de seguimiento y evaluación de los avances en integración tecnológica, con indicadores concretos que permitan valorar el impacto de las estrategias implementadas y ajustarlas según los resultados obtenidos.</w:t>
      </w:r>
    </w:p>
    <w:p>
      <w:pPr>
        <w:spacing w:line="480" w:lineRule="auto"/>
        <w:jc w:val="both"/>
      </w:pPr>
      <w:r>
        <w:rPr>
          <w:rFonts w:ascii="Times New Roman" w:cs="Times New Roman" w:eastAsia="Times New Roman" w:hAnsi="Times New Roman"/>
          <w:sz w:val="24"/>
          <w:szCs w:val="24"/>
        </w:rPr>
        <w:t xml:space="preserve">La implementación articulada de estos cuatro ejes estratégicos permitirá a la Escuela Líder General Thomas Guardia avanzar de manera sostenida hacia una integración tecnológica efectiva, equitativa y pedagógicamente significativa, en beneficio de toda su comunidad educativa y en cumplimiento de los objetivos de calidad del sistema educativo costarricense.</w:t>
      </w:r>
    </w:p>
    <w:p>
      <w:pPr>
        <w:spacing w:line="480" w:lineRule="auto"/>
      </w:pPr>
    </w:p>
    <w:p>
      <w:pPr>
        <w:spacing w:after="120" w:before="120" w:line="480" w:lineRule="auto"/>
        <w:jc w:val="center"/>
      </w:pPr>
      <w:r>
        <w:rPr>
          <w:rFonts w:ascii="Times New Roman" w:cs="Times New Roman" w:eastAsia="Times New Roman" w:hAnsi="Times New Roman"/>
          <w:b/>
          <w:bCs/>
          <w:sz w:val="24"/>
          <w:szCs w:val="24"/>
        </w:rPr>
        <w:t xml:space="preserve">Referencias</w:t>
      </w:r>
    </w:p>
    <w:p>
      <w:pPr>
        <w:spacing w:line="480" w:lineRule="auto"/>
        <w:jc w:val="both"/>
      </w:pPr>
      <w:r>
        <w:rPr>
          <w:rFonts w:ascii="Times New Roman" w:cs="Times New Roman" w:eastAsia="Times New Roman" w:hAnsi="Times New Roman"/>
          <w:sz w:val="24"/>
          <w:szCs w:val="24"/>
        </w:rPr>
        <w:t xml:space="preserve">Banco Mundial. (2022). Tecnología en la educación: ¿Una herramienta en los términos de quién? Washington D.C.: Banco Mundial.</w:t>
      </w:r>
    </w:p>
    <w:p>
      <w:pPr>
        <w:spacing w:line="480" w:lineRule="auto"/>
        <w:jc w:val="both"/>
      </w:pPr>
      <w:r>
        <w:rPr>
          <w:rFonts w:ascii="Times New Roman" w:cs="Times New Roman" w:eastAsia="Times New Roman" w:hAnsi="Times New Roman"/>
          <w:sz w:val="24"/>
          <w:szCs w:val="24"/>
        </w:rPr>
        <w:t xml:space="preserve">Chacón, A. y Ramírez, M. (2019). Integración de tecnología en escuelas públicas costarricenses: alcances y limitaciones del Programa Tecno@prender. Revista Educación, 43(2), 1-22. https://doi.org/10.15517/revedu.v43i2.xxxxx</w:t>
      </w:r>
    </w:p>
    <w:p>
      <w:pPr>
        <w:spacing w:line="480" w:lineRule="auto"/>
        <w:jc w:val="both"/>
      </w:pPr>
      <w:r>
        <w:rPr>
          <w:rFonts w:ascii="Times New Roman" w:cs="Times New Roman" w:eastAsia="Times New Roman" w:hAnsi="Times New Roman"/>
          <w:sz w:val="24"/>
          <w:szCs w:val="24"/>
        </w:rPr>
        <w:t xml:space="preserve">Coll, C. (2021). La naturaleza del aprendizaje: Usando la investigación para inspirar la práctica. Madrid: Narcea.</w:t>
      </w:r>
    </w:p>
    <w:p>
      <w:pPr>
        <w:spacing w:line="480" w:lineRule="auto"/>
        <w:jc w:val="both"/>
      </w:pPr>
      <w:r>
        <w:rPr>
          <w:rFonts w:ascii="Times New Roman" w:cs="Times New Roman" w:eastAsia="Times New Roman" w:hAnsi="Times New Roman"/>
          <w:sz w:val="24"/>
          <w:szCs w:val="24"/>
        </w:rPr>
        <w:t xml:space="preserve">Estado de la Educación. (2021). Octavo informe del Estado de la Educación. San José: CONARE-PEN.</w:t>
      </w:r>
    </w:p>
    <w:p>
      <w:pPr>
        <w:spacing w:line="480" w:lineRule="auto"/>
        <w:jc w:val="both"/>
      </w:pPr>
      <w:r>
        <w:rPr>
          <w:rFonts w:ascii="Times New Roman" w:cs="Times New Roman" w:eastAsia="Times New Roman" w:hAnsi="Times New Roman"/>
          <w:sz w:val="24"/>
          <w:szCs w:val="24"/>
        </w:rPr>
        <w:t xml:space="preserve">Instituto Nacional de Estadística y Censos (INEC). (2022). Encuesta Nacional de Hogares. San José: INEC.</w:t>
      </w:r>
    </w:p>
    <w:p>
      <w:pPr>
        <w:spacing w:line="480" w:lineRule="auto"/>
        <w:jc w:val="both"/>
      </w:pPr>
      <w:r>
        <w:rPr>
          <w:rFonts w:ascii="Times New Roman" w:cs="Times New Roman" w:eastAsia="Times New Roman" w:hAnsi="Times New Roman"/>
          <w:sz w:val="24"/>
          <w:szCs w:val="24"/>
        </w:rPr>
        <w:t xml:space="preserve">Leithwood, K. (2004). El liderazgo con éxito: El liderazgo educacional transformador en un mundo de políticas transaccionales. ICE – Deusto.</w:t>
      </w:r>
    </w:p>
    <w:p>
      <w:pPr>
        <w:spacing w:line="480" w:lineRule="auto"/>
        <w:jc w:val="both"/>
      </w:pPr>
      <w:r>
        <w:rPr>
          <w:rFonts w:ascii="Times New Roman" w:cs="Times New Roman" w:eastAsia="Times New Roman" w:hAnsi="Times New Roman"/>
          <w:sz w:val="24"/>
          <w:szCs w:val="24"/>
        </w:rPr>
        <w:t xml:space="preserve">Ministerio de Educación Pública. (2015). Educar para una nueva ciudadanía: Fundamentación pedagógica de la transformación curricular. San José: MEP.</w:t>
      </w:r>
    </w:p>
    <w:p>
      <w:pPr>
        <w:spacing w:line="480" w:lineRule="auto"/>
        <w:jc w:val="both"/>
      </w:pPr>
      <w:r>
        <w:rPr>
          <w:rFonts w:ascii="Times New Roman" w:cs="Times New Roman" w:eastAsia="Times New Roman" w:hAnsi="Times New Roman"/>
          <w:sz w:val="24"/>
          <w:szCs w:val="24"/>
        </w:rPr>
        <w:t xml:space="preserve">Mishra, P. y Koehler, M. J. (2006). Technological Pedagogical Content Knowledge: A framework for teacher knowledge. Teachers College Record, 108(6), 1017-1054.</w:t>
      </w:r>
    </w:p>
    <w:p>
      <w:pPr>
        <w:spacing w:line="480" w:lineRule="auto"/>
        <w:jc w:val="both"/>
      </w:pPr>
      <w:r>
        <w:rPr>
          <w:rFonts w:ascii="Times New Roman" w:cs="Times New Roman" w:eastAsia="Times New Roman" w:hAnsi="Times New Roman"/>
          <w:sz w:val="24"/>
          <w:szCs w:val="24"/>
        </w:rPr>
        <w:t xml:space="preserve">Papert, S. (1980). Mindstorms: Children, Computers, and Powerful Ideas. New York: Basic Books.</w:t>
      </w:r>
    </w:p>
    <w:p>
      <w:pPr>
        <w:spacing w:line="480" w:lineRule="auto"/>
        <w:jc w:val="both"/>
      </w:pPr>
      <w:r>
        <w:rPr>
          <w:rFonts w:ascii="Times New Roman" w:cs="Times New Roman" w:eastAsia="Times New Roman" w:hAnsi="Times New Roman"/>
          <w:sz w:val="24"/>
          <w:szCs w:val="24"/>
        </w:rPr>
        <w:t xml:space="preserve">Redecker, C. (2017). European Framework for the Digital Competence of Educators: DigCompEdu. Luxembourg: Publications Office of the European Union.</w:t>
      </w:r>
    </w:p>
    <w:p>
      <w:pPr>
        <w:spacing w:line="480" w:lineRule="auto"/>
        <w:jc w:val="both"/>
      </w:pPr>
      <w:r>
        <w:rPr>
          <w:rFonts w:ascii="Times New Roman" w:cs="Times New Roman" w:eastAsia="Times New Roman" w:hAnsi="Times New Roman"/>
          <w:sz w:val="24"/>
          <w:szCs w:val="24"/>
        </w:rPr>
        <w:t xml:space="preserve">Sunkel, G. y Trucco, D. (2012). Las tecnologías digitales frente a los desafíos de una educación inclusiva en América Latina. Santiago: CEPAL.</w:t>
      </w:r>
    </w:p>
    <w:p>
      <w:pPr>
        <w:spacing w:line="480" w:lineRule="auto"/>
      </w:pPr>
    </w:p>
    <w:p>
      <w:r>
        <w:br w:type="page"/>
      </w:r>
    </w:p>
    <w:p>
      <w:pPr>
        <w:spacing w:after="120" w:before="120" w:line="480" w:lineRule="auto"/>
        <w:jc w:val="center"/>
      </w:pPr>
      <w:r>
        <w:rPr>
          <w:rFonts w:ascii="Times New Roman" w:cs="Times New Roman" w:eastAsia="Times New Roman" w:hAnsi="Times New Roman"/>
          <w:b/>
          <w:bCs/>
          <w:sz w:val="24"/>
          <w:szCs w:val="24"/>
        </w:rPr>
        <w:t xml:space="preserve">ANEXO N°1</w:t>
      </w:r>
    </w:p>
    <w:p>
      <w:pPr>
        <w:spacing w:after="120" w:before="120" w:line="480" w:lineRule="auto"/>
        <w:jc w:val="center"/>
      </w:pPr>
      <w:r>
        <w:rPr>
          <w:rFonts w:ascii="Times New Roman" w:cs="Times New Roman" w:eastAsia="Times New Roman" w:hAnsi="Times New Roman"/>
          <w:b/>
          <w:bCs/>
          <w:sz w:val="24"/>
          <w:szCs w:val="24"/>
        </w:rPr>
        <w:t xml:space="preserve">INSTRUMENTO APLICADO</w:t>
      </w:r>
    </w:p>
    <w:p>
      <w:pPr>
        <w:spacing w:line="480" w:lineRule="auto"/>
      </w:pPr>
    </w:p>
    <w:p>
      <w:pPr>
        <w:spacing w:line="480" w:lineRule="auto"/>
        <w:jc w:val="center"/>
      </w:pPr>
      <w:r>
        <w:rPr>
          <w:rFonts w:ascii="Times New Roman" w:cs="Times New Roman" w:eastAsia="Times New Roman" w:hAnsi="Times New Roman"/>
          <w:b/>
          <w:bCs/>
          <w:sz w:val="24"/>
          <w:szCs w:val="24"/>
        </w:rPr>
        <w:t xml:space="preserve">Cuestionario sobre uso e integración de la tecnología digital en el aula</w:t>
      </w:r>
    </w:p>
    <w:p>
      <w:pPr>
        <w:spacing w:line="480" w:lineRule="auto"/>
      </w:pPr>
    </w:p>
    <w:p>
      <w:pPr>
        <w:spacing w:line="480" w:lineRule="auto"/>
        <w:jc w:val="both"/>
      </w:pPr>
      <w:r>
        <w:rPr>
          <w:rFonts w:ascii="Times New Roman" w:cs="Times New Roman" w:eastAsia="Times New Roman" w:hAnsi="Times New Roman"/>
          <w:sz w:val="24"/>
          <w:szCs w:val="24"/>
        </w:rPr>
        <w:t xml:space="preserve">Estimado/a docente: El presente cuestionario tiene como finalidad recopilar información sobre el uso de la tecnología digital en las prácticas pedagógicas de la institución. Su participación es voluntaria y la información será tratada con total confidencialidad. Gracias por su colaboración.</w:t>
      </w:r>
    </w:p>
    <w:p>
      <w:pPr>
        <w:spacing w:line="480" w:lineRule="auto"/>
      </w:pPr>
    </w:p>
    <w:p>
      <w:pPr>
        <w:spacing w:line="480" w:lineRule="auto"/>
        <w:ind w:left="567"/>
        <w:jc w:val="both"/>
      </w:pPr>
      <w:r>
        <w:rPr>
          <w:rFonts w:ascii="Times New Roman" w:cs="Times New Roman" w:eastAsia="Times New Roman" w:hAnsi="Times New Roman"/>
          <w:sz w:val="24"/>
          <w:szCs w:val="24"/>
        </w:rPr>
        <w:t xml:space="preserve">1. ¿Con qué frecuencia utiliza herramientas tecnológicas en sus lecciones?</w:t>
      </w:r>
    </w:p>
    <w:p>
      <w:pPr>
        <w:spacing w:line="480" w:lineRule="auto"/>
        <w:ind w:left="567"/>
        <w:jc w:val="both"/>
      </w:pPr>
      <w:r>
        <w:rPr>
          <w:rFonts w:ascii="Times New Roman" w:cs="Times New Roman" w:eastAsia="Times New Roman" w:hAnsi="Times New Roman"/>
          <w:sz w:val="24"/>
          <w:szCs w:val="24"/>
        </w:rPr>
        <w:t xml:space="preserve">a) Diariamente   b) Varias veces por semana   c) Una vez por semana   d) Ocasionalmente   e) Nunca o casi nunca</w:t>
      </w:r>
    </w:p>
    <w:p>
      <w:pPr>
        <w:spacing w:line="480" w:lineRule="auto"/>
        <w:ind w:left="567"/>
        <w:jc w:val="both"/>
      </w:pPr>
      <w:r>
        <w:rPr>
          <w:rFonts w:ascii="Times New Roman" w:cs="Times New Roman" w:eastAsia="Times New Roman" w:hAnsi="Times New Roman"/>
          <w:sz w:val="24"/>
          <w:szCs w:val="24"/>
        </w:rPr>
        <w:t xml:space="preserve">2. ¿Cómo valora el estado de los recursos tecnológicos disponibles en la institución? (Marque para cada recurso: Bueno / Regular / Deficiente)</w:t>
      </w:r>
    </w:p>
    <w:p>
      <w:pPr>
        <w:spacing w:line="480" w:lineRule="auto"/>
        <w:ind w:left="567"/>
        <w:jc w:val="both"/>
      </w:pPr>
      <w:r>
        <w:rPr>
          <w:rFonts w:ascii="Times New Roman" w:cs="Times New Roman" w:eastAsia="Times New Roman" w:hAnsi="Times New Roman"/>
          <w:sz w:val="24"/>
          <w:szCs w:val="24"/>
        </w:rPr>
        <w:t xml:space="preserve">Computadoras de escritorio / Tabletas / Proyectores / Conectividad a internet / Plataformas digitales</w:t>
      </w:r>
    </w:p>
    <w:p>
      <w:pPr>
        <w:spacing w:line="480" w:lineRule="auto"/>
        <w:ind w:left="567"/>
        <w:jc w:val="both"/>
      </w:pPr>
      <w:r>
        <w:rPr>
          <w:rFonts w:ascii="Times New Roman" w:cs="Times New Roman" w:eastAsia="Times New Roman" w:hAnsi="Times New Roman"/>
          <w:sz w:val="24"/>
          <w:szCs w:val="24"/>
        </w:rPr>
        <w:t xml:space="preserve">3. ¿Cómo describiría su nivel de competencia digital para usos pedagógicos?</w:t>
      </w:r>
    </w:p>
    <w:p>
      <w:pPr>
        <w:spacing w:line="480" w:lineRule="auto"/>
        <w:ind w:left="567"/>
        <w:jc w:val="both"/>
      </w:pPr>
      <w:r>
        <w:rPr>
          <w:rFonts w:ascii="Times New Roman" w:cs="Times New Roman" w:eastAsia="Times New Roman" w:hAnsi="Times New Roman"/>
          <w:sz w:val="24"/>
          <w:szCs w:val="24"/>
        </w:rPr>
        <w:t xml:space="preserve">a) Avanzado   b) Intermedio   c) Básico   d) Inicial</w:t>
      </w:r>
    </w:p>
    <w:p>
      <w:pPr>
        <w:spacing w:line="480" w:lineRule="auto"/>
        <w:ind w:left="567"/>
        <w:jc w:val="both"/>
      </w:pPr>
      <w:r>
        <w:rPr>
          <w:rFonts w:ascii="Times New Roman" w:cs="Times New Roman" w:eastAsia="Times New Roman" w:hAnsi="Times New Roman"/>
          <w:sz w:val="24"/>
          <w:szCs w:val="24"/>
        </w:rPr>
        <w:t xml:space="preserve">4. ¿Ha recibido capacitación específica en tecnología educativa en los últimos dos años?</w:t>
      </w:r>
    </w:p>
    <w:p>
      <w:pPr>
        <w:spacing w:line="480" w:lineRule="auto"/>
        <w:ind w:left="567"/>
        <w:jc w:val="both"/>
      </w:pPr>
      <w:r>
        <w:rPr>
          <w:rFonts w:ascii="Times New Roman" w:cs="Times New Roman" w:eastAsia="Times New Roman" w:hAnsi="Times New Roman"/>
          <w:sz w:val="24"/>
          <w:szCs w:val="24"/>
        </w:rPr>
        <w:t xml:space="preserve">a) Sí   b) No</w:t>
      </w:r>
    </w:p>
    <w:p>
      <w:pPr>
        <w:spacing w:line="480" w:lineRule="auto"/>
        <w:ind w:left="567"/>
        <w:jc w:val="both"/>
      </w:pPr>
      <w:r>
        <w:rPr>
          <w:rFonts w:ascii="Times New Roman" w:cs="Times New Roman" w:eastAsia="Times New Roman" w:hAnsi="Times New Roman"/>
          <w:sz w:val="24"/>
          <w:szCs w:val="24"/>
        </w:rPr>
        <w:t xml:space="preserve">5. ¿Conoce usted si la institución cuenta con un plan de uso tecnológico?</w:t>
      </w:r>
    </w:p>
    <w:p>
      <w:pPr>
        <w:spacing w:line="480" w:lineRule="auto"/>
        <w:ind w:left="567"/>
        <w:jc w:val="both"/>
      </w:pPr>
      <w:r>
        <w:rPr>
          <w:rFonts w:ascii="Times New Roman" w:cs="Times New Roman" w:eastAsia="Times New Roman" w:hAnsi="Times New Roman"/>
          <w:sz w:val="24"/>
          <w:szCs w:val="24"/>
        </w:rPr>
        <w:t xml:space="preserve">a) Sí   b) No   c) No sabe</w:t>
      </w:r>
    </w:p>
    <w:p>
      <w:pPr>
        <w:spacing w:line="480" w:lineRule="auto"/>
        <w:ind w:left="567"/>
        <w:jc w:val="both"/>
      </w:pPr>
      <w:r>
        <w:rPr>
          <w:rFonts w:ascii="Times New Roman" w:cs="Times New Roman" w:eastAsia="Times New Roman" w:hAnsi="Times New Roman"/>
          <w:sz w:val="24"/>
          <w:szCs w:val="24"/>
        </w:rPr>
        <w:t xml:space="preserve">6. ¿Existen lineamientos institucionales para el uso pedagógico de las TIC en el aula?</w:t>
      </w:r>
    </w:p>
    <w:p>
      <w:pPr>
        <w:spacing w:line="480" w:lineRule="auto"/>
        <w:ind w:left="567"/>
        <w:jc w:val="both"/>
      </w:pPr>
      <w:r>
        <w:rPr>
          <w:rFonts w:ascii="Times New Roman" w:cs="Times New Roman" w:eastAsia="Times New Roman" w:hAnsi="Times New Roman"/>
          <w:sz w:val="24"/>
          <w:szCs w:val="24"/>
        </w:rPr>
        <w:t xml:space="preserve">a) Sí   b) No   c) No sabe</w:t>
      </w:r>
    </w:p>
    <w:p>
      <w:pPr>
        <w:spacing w:line="480" w:lineRule="auto"/>
        <w:ind w:left="567"/>
        <w:jc w:val="both"/>
      </w:pPr>
      <w:r>
        <w:rPr>
          <w:rFonts w:ascii="Times New Roman" w:cs="Times New Roman" w:eastAsia="Times New Roman" w:hAnsi="Times New Roman"/>
          <w:sz w:val="24"/>
          <w:szCs w:val="24"/>
        </w:rPr>
        <w:t xml:space="preserve">7. ¿Se realizan reuniones periódicas sobre integración de tecnología en la enseñanza?</w:t>
      </w:r>
    </w:p>
    <w:p>
      <w:pPr>
        <w:spacing w:line="480" w:lineRule="auto"/>
        <w:ind w:left="567"/>
        <w:jc w:val="both"/>
      </w:pPr>
      <w:r>
        <w:rPr>
          <w:rFonts w:ascii="Times New Roman" w:cs="Times New Roman" w:eastAsia="Times New Roman" w:hAnsi="Times New Roman"/>
          <w:sz w:val="24"/>
          <w:szCs w:val="24"/>
        </w:rPr>
        <w:t xml:space="preserve">a) Sí   b) No</w:t>
      </w:r>
    </w:p>
    <w:p>
      <w:pPr>
        <w:spacing w:line="480" w:lineRule="auto"/>
        <w:ind w:left="567"/>
        <w:jc w:val="both"/>
      </w:pPr>
      <w:r>
        <w:rPr>
          <w:rFonts w:ascii="Times New Roman" w:cs="Times New Roman" w:eastAsia="Times New Roman" w:hAnsi="Times New Roman"/>
          <w:sz w:val="24"/>
          <w:szCs w:val="24"/>
        </w:rPr>
        <w:t xml:space="preserve">8. ¿Considera que la dirección promueve activamente el uso de la tecnología en la práctica pedagógica?</w:t>
      </w:r>
    </w:p>
    <w:p>
      <w:pPr>
        <w:spacing w:line="480" w:lineRule="auto"/>
        <w:ind w:left="567"/>
        <w:jc w:val="both"/>
      </w:pPr>
      <w:r>
        <w:rPr>
          <w:rFonts w:ascii="Times New Roman" w:cs="Times New Roman" w:eastAsia="Times New Roman" w:hAnsi="Times New Roman"/>
          <w:sz w:val="24"/>
          <w:szCs w:val="24"/>
        </w:rPr>
        <w:t xml:space="preserve">a) Sí   b) No</w:t>
      </w:r>
    </w:p>
    <w:p>
      <w:pPr>
        <w:spacing w:line="480" w:lineRule="auto"/>
        <w:ind w:left="567"/>
        <w:jc w:val="both"/>
      </w:pPr>
      <w:r>
        <w:rPr>
          <w:rFonts w:ascii="Times New Roman" w:cs="Times New Roman" w:eastAsia="Times New Roman" w:hAnsi="Times New Roman"/>
          <w:sz w:val="24"/>
          <w:szCs w:val="24"/>
        </w:rPr>
        <w:t xml:space="preserve">9. Identifique los principales obstáculos que enfrenta para integrar la tecnología en sus lecciones (pregunta abierta):</w:t>
      </w:r>
    </w:p>
    <w:p>
      <w:pPr>
        <w:spacing w:line="480" w:lineRule="auto"/>
      </w:pPr>
    </w:p>
    <w:p>
      <w:r>
        <w:br w:type="page"/>
      </w:r>
    </w:p>
    <w:p>
      <w:pPr>
        <w:spacing w:after="120" w:before="120" w:line="480" w:lineRule="auto"/>
        <w:jc w:val="center"/>
      </w:pPr>
      <w:r>
        <w:rPr>
          <w:rFonts w:ascii="Times New Roman" w:cs="Times New Roman" w:eastAsia="Times New Roman" w:hAnsi="Times New Roman"/>
          <w:b/>
          <w:bCs/>
          <w:sz w:val="24"/>
          <w:szCs w:val="24"/>
        </w:rPr>
        <w:t xml:space="preserve">ANEXO N°2</w:t>
      </w:r>
    </w:p>
    <w:p>
      <w:pPr>
        <w:spacing w:after="120" w:before="120" w:line="480" w:lineRule="auto"/>
        <w:jc w:val="center"/>
      </w:pPr>
      <w:r>
        <w:rPr>
          <w:rFonts w:ascii="Times New Roman" w:cs="Times New Roman" w:eastAsia="Times New Roman" w:hAnsi="Times New Roman"/>
          <w:b/>
          <w:bCs/>
          <w:sz w:val="24"/>
          <w:szCs w:val="24"/>
        </w:rPr>
        <w:t xml:space="preserve">DECLARACIÓN JURADA</w:t>
      </w:r>
    </w:p>
    <w:p>
      <w:pPr>
        <w:spacing w:line="480" w:lineRule="auto"/>
      </w:pPr>
    </w:p>
    <w:p>
      <w:pPr>
        <w:spacing w:line="480" w:lineRule="auto"/>
        <w:jc w:val="left"/>
      </w:pPr>
      <w:r>
        <w:rPr>
          <w:rFonts w:ascii="Times New Roman" w:cs="Times New Roman" w:eastAsia="Times New Roman" w:hAnsi="Times New Roman"/>
          <w:b/>
          <w:bCs/>
          <w:sz w:val="24"/>
          <w:szCs w:val="24"/>
        </w:rPr>
        <w:t xml:space="preserve">Declaración Jurada.</w:t>
      </w:r>
    </w:p>
    <w:p>
      <w:pPr>
        <w:spacing w:line="480" w:lineRule="auto"/>
      </w:pPr>
    </w:p>
    <w:p>
      <w:pPr>
        <w:spacing w:line="480" w:lineRule="auto"/>
        <w:ind w:left="567"/>
        <w:jc w:val="both"/>
      </w:pPr>
      <w:r>
        <w:rPr>
          <w:rFonts w:ascii="Times New Roman" w:cs="Times New Roman" w:eastAsia="Times New Roman" w:hAnsi="Times New Roman"/>
          <w:sz w:val="24"/>
          <w:szCs w:val="24"/>
        </w:rPr>
        <w:t xml:space="preserve">Yo, Gidget Martínez Hernández, cédula de identidad ______________________, alumna de la Universidad Internacional San Isidro Labrador, declaro bajo fe de juramento y consciente de las responsabilidades penales de este acto, que soy la autora intelectual del Artículo Especializado para obtener el grado de Maestría Profesional en Administración Educativa, titulado:</w:t>
      </w:r>
    </w:p>
    <w:p>
      <w:pPr>
        <w:spacing w:line="480" w:lineRule="auto"/>
      </w:pPr>
    </w:p>
    <w:p>
      <w:pPr>
        <w:spacing w:line="480" w:lineRule="auto"/>
        <w:jc w:val="center"/>
      </w:pPr>
      <w:r>
        <w:rPr>
          <w:rFonts w:ascii="Times New Roman" w:cs="Times New Roman" w:eastAsia="Times New Roman" w:hAnsi="Times New Roman"/>
          <w:i/>
          <w:iCs/>
          <w:sz w:val="24"/>
          <w:szCs w:val="24"/>
        </w:rPr>
        <w:t xml:space="preserve">Integración de tecnología digital en el aula de primaria: desafíos y estrategias</w:t>
      </w:r>
    </w:p>
    <w:p>
      <w:pPr>
        <w:spacing w:line="480" w:lineRule="auto"/>
      </w:pPr>
    </w:p>
    <w:p>
      <w:pPr>
        <w:spacing w:line="480" w:lineRule="auto"/>
        <w:ind w:left="567"/>
        <w:jc w:val="both"/>
      </w:pPr>
      <w:r>
        <w:rPr>
          <w:rFonts w:ascii="Times New Roman" w:cs="Times New Roman" w:eastAsia="Times New Roman" w:hAnsi="Times New Roman"/>
          <w:sz w:val="24"/>
          <w:szCs w:val="24"/>
        </w:rPr>
        <w:t xml:space="preserve">Por lo que libro a la Universidad de cualquier responsabilidad en caso de que mi declaración sea falsa.</w:t>
      </w:r>
    </w:p>
    <w:p>
      <w:pPr>
        <w:spacing w:line="480" w:lineRule="auto"/>
      </w:pPr>
    </w:p>
    <w:p>
      <w:pPr>
        <w:spacing w:line="480" w:lineRule="auto"/>
        <w:ind w:left="567"/>
        <w:jc w:val="both"/>
      </w:pPr>
      <w:r>
        <w:rPr>
          <w:rFonts w:ascii="Times New Roman" w:cs="Times New Roman" w:eastAsia="Times New Roman" w:hAnsi="Times New Roman"/>
          <w:sz w:val="24"/>
          <w:szCs w:val="24"/>
        </w:rPr>
        <w:t xml:space="preserve">Provincia de Limón, Cantón Central, Distrito Limón, a los _____ días del mes de ____________ del año 2026.</w:t>
      </w:r>
    </w:p>
    <w:p>
      <w:pPr>
        <w:spacing w:line="480" w:lineRule="auto"/>
      </w:pPr>
    </w:p>
    <w:p>
      <w:pPr>
        <w:spacing w:line="480" w:lineRule="auto"/>
      </w:pPr>
    </w:p>
    <w:p>
      <w:pPr>
        <w:spacing w:line="480" w:lineRule="auto"/>
      </w:pPr>
    </w:p>
    <w:p>
      <w:pPr>
        <w:spacing w:line="480" w:lineRule="auto"/>
        <w:jc w:val="center"/>
      </w:pPr>
      <w:r>
        <w:rPr>
          <w:rFonts w:ascii="Times New Roman" w:cs="Times New Roman" w:eastAsia="Times New Roman" w:hAnsi="Times New Roman"/>
          <w:sz w:val="24"/>
          <w:szCs w:val="24"/>
        </w:rPr>
        <w:t xml:space="preserve">______________________________</w:t>
      </w:r>
    </w:p>
    <w:p>
      <w:pPr>
        <w:spacing w:line="480" w:lineRule="auto"/>
        <w:jc w:val="center"/>
      </w:pPr>
      <w:r>
        <w:rPr>
          <w:rFonts w:ascii="Times New Roman" w:cs="Times New Roman" w:eastAsia="Times New Roman" w:hAnsi="Times New Roman"/>
          <w:sz w:val="24"/>
          <w:szCs w:val="24"/>
        </w:rPr>
        <w:t xml:space="preserve">Gidget Martínez Hernández</w:t>
      </w:r>
    </w:p>
    <w:p>
      <w:pPr>
        <w:spacing w:line="480" w:lineRule="auto"/>
        <w:jc w:val="center"/>
      </w:pPr>
      <w:r>
        <w:rPr>
          <w:rFonts w:ascii="Times New Roman" w:cs="Times New Roman" w:eastAsia="Times New Roman" w:hAnsi="Times New Roman"/>
          <w:sz w:val="24"/>
          <w:szCs w:val="24"/>
        </w:rPr>
        <w:t xml:space="preserve">Cédula: ______________________</w:t>
      </w:r>
    </w:p>
    <w:sectPr>
      <w:pgSz w:w="12240" w:h="15840" w:orient="portrait"/>
      <w:pgMar w:top="1814" w:right="1814" w:bottom="1814" w:left="181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r>
        <w:rPr>
          <w:rStyle w:val="FootnoteReference"/>
        </w:rPr>
        <w:footnoteRef/>
      </w:r>
      <w:r>
        <w:rPr>
          <w:rFonts w:ascii="Times New Roman" w:cs="Times New Roman" w:eastAsia="Times New Roman" w:hAnsi="Times New Roman"/>
          <w:sz w:val="16"/>
          <w:szCs w:val="16"/>
        </w:rPr>
        <w:t xml:space="preserve">Gidget Martínez Hernández: Actualmente se desempeña como docente en la Escuela Líder General Thomas Guardia, Circuito 01, Dirección Regional de Limón, Ministerio de Educación Pública. Estudiante de la Maestría Profesional en Administración Educativa, UISIL. Correo electrónico: </w:t>
      </w:r>
      <w:r>
        <w:rPr>
          <w:rFonts w:ascii="Times New Roman" w:cs="Times New Roman" w:eastAsia="Times New Roman" w:hAnsi="Times New Roman"/>
          <w:sz w:val="16"/>
          <w:szCs w:val="16"/>
        </w:rPr>
        <w:t xml:space="preserve">gidget.martinez@est.uisil.ac.cr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2026-06-15T03:10:47.242Z</dcterms:created>
  <dcterms:modified xsi:type="dcterms:W3CDTF">2026-06-15T03:10:47.255Z</dcterms:modified>
</cp:coreProperties>
</file>

<file path=docProps/custom.xml><?xml version="1.0" encoding="utf-8"?>
<Properties xmlns="http://schemas.openxmlformats.org/officeDocument/2006/custom-properties" xmlns:vt="http://schemas.openxmlformats.org/officeDocument/2006/docPropsVTypes"/>
</file>